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0"/>
          <w:sz w:val="32"/>
          <w:szCs w:val="28"/>
          <w:lang w:val="en-US" w:eastAsia="zh-CN"/>
        </w:rPr>
        <w:t>重疾绿通服务服务内容释义</w:t>
      </w:r>
    </w:p>
    <w:tbl>
      <w:tblPr>
        <w:tblStyle w:val="3"/>
        <w:tblW w:w="80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930"/>
        <w:gridCol w:w="5618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00923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6"/>
                <w:szCs w:val="16"/>
              </w:rPr>
              <w:t>序号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00923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</w:rPr>
              <w:t>服务项目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00923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</w:rPr>
              <w:t>服务释义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00923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</w:rPr>
              <w:t>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视频医生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7*24小时全科医生通过视频方式解决客户各类诊疗、用药、康复等方面问题，客户可以通过上传、提供各类图文资料的方式进行咨询。经医生判断需要用药的，由医生开具处方，客户完成线上药品购买，将药品快递至客户指定地点，方便快捷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不限次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体检预约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协助客户选择最合适的体检机构和套餐，获得最优价格并协助客户预约。在客户体检完成后，如客户对体检报告有疑问时，协助进行解答，并对体检报告中的异常指标给出后续进一步诊疗的建议。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客户提出体检服务申请的一个工作日内完成体检安排。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不限次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专家门诊预约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客户罹患重疾后，根据客户目前的病情及就诊意向，为其安排最合适的医生，使客户能尽快完成门诊就诊。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不指定医院不指定专家，3个工作日完成预约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指定医院不指定专家，3个工作日完成预约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指定医院指定专家，需根据该医生的实际出诊情况确定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就医陪诊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客户在门诊就诊过程中，由专职护士人员进行陪同，指引客户就诊流程，帮助客户进行排队、缴款、取药等，协助客户顺利完成就诊。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需提前三个工作日提出就医陪诊申请，提出申请后的一个工作日内完成陪诊安排。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快速住院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客户罹患重疾并已获得入院通知单，安排客户在开具入院单的专家床位入住，使客户能尽快获得住院治疗。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客户提供入院通知单后的十个工作日内完成入院手续办理。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手术协调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客户罹患重疾后如需手术治疗的，协调客户入住三甲医院床位，并安排合适专家为其进行手术。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不指定专家手术，在客户办理入院后的三个工作日内完成手术专家安排。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指定专家手术的，首次门诊及入院日期，需视指定专家的具体出诊情况确定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国内转诊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客户罹患重疾住院后，如希望转至其他更好医疗水平医院治疗，协助客户安排相关医院专家的门诊首诊。如专家经诊疗后同意收治入院并开具入院单的，协助客户办理原入住医院的转院手续。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不指定专家：确定转院专家后，五个工作日内完成首诊安排。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指定专家：需要根据指定专家的实际出诊计划安排。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国内二次诊疗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客户罹患重疾并获得诊断（获得治疗方案），如对原诊断、治疗方案有疑义时，通过咨询国内专家，提供独立、客观的书面第二诊断意见，协助客户更全面的了解自身病情，选择更合适的治疗方案与手段。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在收到客户病历资料后，三个工作日内提供二诊报告。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国际转诊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并经诊疗后，如希望至美国进行进一步诊疗，协助进行美国当地医生的就诊预约安排，包括就医签证、交通食宿预定安排、专车接送、生活翻译协助、病例整理翻译、诊疗方案、检测报告翻译解读等，帮助客户顺利完成美国的就医首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在收到客户病历资料后，在十个工作日内确定国际转诊专家。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国际二次诊疗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客户罹患重疾并获得诊断（获得治疗方案），如对原诊断、治疗方案有疑义时，希望通过国际专家给出独立意见时，协助客户进行安排，提供海外专家独立、客观的书面第二诊断意见，协助客户更全面的了解自身病情，选择更合适的治疗方案与手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在收到客户病历资料后，二周内提供二诊报告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重疾治疗路费报销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路费报销是指提供绿通服务过程中，为患者本人提供的路费报销，不包含住宿费、自驾车油费、过路费等其他费用路费，报销指的是汽车票、火车票、飞机票、打车票。报销以一次治疗周期为限的路费，省内最高2,000元，省外最高5,000元。治疗结束后10个工作日内提出报销申请。重疾治疗路费的报销款审核完毕后5个工作日内汇至被保险人指定的汇款账户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9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城际转运</w:t>
            </w:r>
          </w:p>
        </w:tc>
        <w:tc>
          <w:tcPr>
            <w:tcW w:w="5618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针对客户在服务生效期间因罹患重疾，住院治疗稳定，但是行动不便，并有需要前往其它城市接受治疗时，视具体情况，安排医疗转运客户至目的地。</w:t>
            </w:r>
          </w:p>
        </w:tc>
        <w:tc>
          <w:tcPr>
            <w:tcW w:w="903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1次/年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63504"/>
    <w:rsid w:val="4A9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2021-12-21T08:53:00Z</dcterms:created>
  <dc:creator>yangpeng</dc:creator>
  <cp:lastModifiedBy>木易</cp:lastModifiedBy>
  <dcterms:modified xsi:type="dcterms:W3CDTF">2021-12-21T08:54:38Z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