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b/>
          <w:kern w:val="0"/>
          <w:sz w:val="32"/>
          <w:szCs w:val="28"/>
          <w:lang w:eastAsia="zh-CN"/>
        </w:rPr>
      </w:pPr>
      <w:r>
        <w:rPr>
          <w:rFonts w:hint="eastAsia" w:ascii="黑体" w:hAnsi="黑体" w:eastAsia="黑体"/>
          <w:b/>
          <w:kern w:val="0"/>
          <w:sz w:val="32"/>
          <w:szCs w:val="28"/>
        </w:rPr>
        <w:t>重疾绿通服务</w:t>
      </w:r>
      <w:r>
        <w:rPr>
          <w:rFonts w:hint="eastAsia" w:ascii="黑体" w:hAnsi="黑体" w:eastAsia="黑体"/>
          <w:b/>
          <w:kern w:val="0"/>
          <w:sz w:val="32"/>
          <w:szCs w:val="28"/>
          <w:lang w:eastAsia="zh-CN"/>
        </w:rPr>
        <w:t>重</w:t>
      </w:r>
      <w:bookmarkStart w:id="0" w:name="_GoBack"/>
      <w:bookmarkEnd w:id="0"/>
      <w:r>
        <w:rPr>
          <w:rFonts w:hint="eastAsia" w:ascii="黑体" w:hAnsi="黑体" w:eastAsia="黑体"/>
          <w:b/>
          <w:kern w:val="0"/>
          <w:sz w:val="32"/>
          <w:szCs w:val="28"/>
          <w:lang w:eastAsia="zh-CN"/>
        </w:rPr>
        <w:t>疾清单</w:t>
      </w:r>
    </w:p>
    <w:p>
      <w:pPr>
        <w:spacing w:line="340" w:lineRule="exact"/>
        <w:rPr>
          <w:rFonts w:ascii="华文中宋" w:hAnsi="华文中宋" w:eastAsia="华文中宋"/>
          <w:b/>
          <w:sz w:val="24"/>
          <w:szCs w:val="24"/>
        </w:rPr>
      </w:pPr>
      <w:r>
        <w:rPr>
          <w:rFonts w:hint="eastAsia" w:ascii="华文中宋" w:hAnsi="华文中宋" w:eastAsia="华文中宋"/>
          <w:b/>
          <w:sz w:val="24"/>
          <w:szCs w:val="24"/>
        </w:rPr>
        <w:t>一、重大疾病</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 恶性肿瘤— 重度</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指恶性细胞不受控制的进行性增长和扩散，浸润和破坏周围正常组织，可以经血管、淋巴管和体腔扩散转移到身体其他部位，病灶经</w:t>
            </w:r>
            <w:r>
              <w:rPr>
                <w:rFonts w:hint="eastAsia" w:ascii="黑体" w:hAnsi="黑体" w:eastAsia="黑体" w:cs="黑体"/>
                <w:b/>
                <w:sz w:val="22"/>
                <w:szCs w:val="22"/>
              </w:rPr>
              <w:t>组织病理学检查</w:t>
            </w:r>
            <w:r>
              <w:rPr>
                <w:rFonts w:hint="eastAsia" w:ascii="黑体" w:hAnsi="黑体" w:eastAsia="黑体" w:cs="黑体"/>
                <w:sz w:val="22"/>
                <w:szCs w:val="22"/>
              </w:rPr>
              <w:t xml:space="preserve">（涵盖骨髓病理学检查）结果明确诊断，临床诊断属于世界卫生组织（WHO，World Health Organization）《疾病和有关健康问题的国际统计分类》第十次修订版（ICD-10）的恶性肿瘤类别及《国际疾病分类肿瘤学专辑》第三版（ICD-0-3）的肿瘤形态学编码属于 3、6、9（恶性肿瘤）范畴的疾病。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下列疾病不属于“恶性肿瘤——重度”，不在保障范围内：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ICD-0-3 肿瘤形态学编码属于 0（良性肿瘤）、1（动态未定性肿瘤）、2（原位癌和非侵 袭性癌）范畴的疾病，如：a.原位癌，癌前病变，非浸润性癌，非侵袭性癌，肿瘤细胞未 侵犯基底层，上皮内瘤变，细胞不典型性增生等；b.交界性肿瘤，交界恶性肿瘤，肿瘤低 度恶性潜能，潜在低度恶性肿瘤等； </w:t>
            </w:r>
          </w:p>
          <w:p>
            <w:pPr>
              <w:widowControl/>
              <w:jc w:val="left"/>
              <w:rPr>
                <w:rFonts w:hint="eastAsia" w:ascii="黑体" w:hAnsi="黑体" w:eastAsia="黑体" w:cs="黑体"/>
                <w:sz w:val="22"/>
                <w:szCs w:val="22"/>
              </w:rPr>
            </w:pPr>
            <w:r>
              <w:rPr>
                <w:rFonts w:hint="eastAsia" w:ascii="黑体" w:hAnsi="黑体" w:eastAsia="黑体" w:cs="黑体"/>
                <w:sz w:val="22"/>
                <w:szCs w:val="22"/>
              </w:rPr>
              <w:t>2.TNM 分期为Ⅰ期或更轻分期的甲状腺癌；</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3.TNM 分期为 T1N0M0期或更轻分期的前列腺癌；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4.黑色素瘤以外的未发生淋巴结和远处转移的皮肤恶性肿瘤；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5.相当于 Binet 分期方案A期程度的慢性淋巴细胞白血病；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6.相当于 Ann Arbor分期方案Ⅰ期程度的何杰金氏病； </w:t>
            </w:r>
          </w:p>
          <w:p>
            <w:pPr>
              <w:widowControl/>
              <w:jc w:val="left"/>
              <w:rPr>
                <w:rFonts w:hint="eastAsia" w:ascii="黑体" w:hAnsi="黑体" w:eastAsia="黑体" w:cs="黑体"/>
                <w:sz w:val="22"/>
                <w:szCs w:val="22"/>
              </w:rPr>
            </w:pPr>
            <w:r>
              <w:rPr>
                <w:rFonts w:hint="eastAsia" w:ascii="黑体" w:hAnsi="黑体" w:eastAsia="黑体" w:cs="黑体"/>
                <w:sz w:val="22"/>
                <w:szCs w:val="22"/>
              </w:rPr>
              <w:t>7.未发生淋巴结和远处转移且 WHO分级为 G1 级别（核分裂像&lt;10/50HPF和ki-67≤2%）或更轻分级的神经内分泌肿瘤。</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甲状腺癌的TNM分期采用目前现行的AJCC第八版定义标准，我国国家卫生健康委员会2018年发布的《甲状腺癌诊疗规范（2018 年版）》也采用此定义标准，具体见下：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甲状腺乳头状癌、滤泡癌、低分化癌、Hürthle 细胞癌和未分化癌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pTX：原发肿瘤不能评估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pT0：无肿瘤证据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pT1：肿瘤局限在甲状腺内，最大径≤2cm </w:t>
            </w:r>
          </w:p>
          <w:p>
            <w:pPr>
              <w:widowControl/>
              <w:ind w:firstLine="220" w:firstLineChars="100"/>
              <w:jc w:val="left"/>
              <w:rPr>
                <w:rFonts w:hint="eastAsia" w:ascii="黑体" w:hAnsi="黑体" w:eastAsia="黑体" w:cs="黑体"/>
                <w:sz w:val="22"/>
                <w:szCs w:val="22"/>
              </w:rPr>
            </w:pPr>
            <w:r>
              <w:rPr>
                <w:rFonts w:hint="eastAsia" w:ascii="黑体" w:hAnsi="黑体" w:eastAsia="黑体" w:cs="黑体"/>
                <w:sz w:val="22"/>
                <w:szCs w:val="22"/>
              </w:rPr>
              <w:t xml:space="preserve">T1a肿瘤最大径≤1cm </w:t>
            </w:r>
          </w:p>
          <w:p>
            <w:pPr>
              <w:widowControl/>
              <w:ind w:firstLine="220" w:firstLineChars="100"/>
              <w:jc w:val="left"/>
              <w:rPr>
                <w:rFonts w:hint="eastAsia" w:ascii="黑体" w:hAnsi="黑体" w:eastAsia="黑体" w:cs="黑体"/>
                <w:sz w:val="22"/>
                <w:szCs w:val="22"/>
              </w:rPr>
            </w:pPr>
            <w:r>
              <w:rPr>
                <w:rFonts w:hint="eastAsia" w:ascii="黑体" w:hAnsi="黑体" w:eastAsia="黑体" w:cs="黑体"/>
                <w:sz w:val="22"/>
                <w:szCs w:val="22"/>
              </w:rPr>
              <w:t xml:space="preserve">T1b肿瘤最大径＞1cm，≤2cm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pT2：肿瘤 2～4cm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pT3：肿瘤&gt;4cm，局限于甲状腺内或大体侵犯甲状腺外带状肌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pT3a：肿瘤&gt;4cm，局限于甲状腺内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pT3b：大体侵犯甲状腺外带状肌，无论肿瘤大小 </w:t>
            </w:r>
          </w:p>
          <w:p>
            <w:pPr>
              <w:widowControl/>
              <w:ind w:firstLine="660" w:firstLineChars="300"/>
              <w:jc w:val="left"/>
              <w:rPr>
                <w:rFonts w:hint="eastAsia" w:ascii="黑体" w:hAnsi="黑体" w:eastAsia="黑体" w:cs="黑体"/>
                <w:sz w:val="22"/>
                <w:szCs w:val="22"/>
              </w:rPr>
            </w:pPr>
            <w:r>
              <w:rPr>
                <w:rFonts w:hint="eastAsia" w:ascii="黑体" w:hAnsi="黑体" w:eastAsia="黑体" w:cs="黑体"/>
                <w:sz w:val="22"/>
                <w:szCs w:val="22"/>
              </w:rPr>
              <w:t xml:space="preserve">带状肌包括：胸骨舌骨肌、胸骨甲状肌、甲状舌骨肌、肩胛舌骨肌 </w:t>
            </w:r>
          </w:p>
          <w:p>
            <w:pPr>
              <w:widowControl/>
              <w:jc w:val="left"/>
              <w:rPr>
                <w:rFonts w:hint="eastAsia" w:ascii="黑体" w:hAnsi="黑体" w:eastAsia="黑体" w:cs="黑体"/>
                <w:sz w:val="22"/>
                <w:szCs w:val="22"/>
              </w:rPr>
            </w:pPr>
            <w:r>
              <w:rPr>
                <w:rFonts w:hint="eastAsia" w:ascii="黑体" w:hAnsi="黑体" w:eastAsia="黑体" w:cs="黑体"/>
                <w:sz w:val="22"/>
                <w:szCs w:val="22"/>
              </w:rPr>
              <w:t>pT4：大体侵犯甲状腺外带状肌外</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pT4a：侵犯喉、气管、食管、喉反神经及皮下软组织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pT4b：侵犯椎前筋膜，或包裹颈动脉、纵隔血管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甲状腺髓样癌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pTX：原发肿瘤不能评估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pT0：无肿瘤证据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pT1：肿瘤局限在甲状腺内，最大径≤2cm </w:t>
            </w:r>
          </w:p>
          <w:p>
            <w:pPr>
              <w:widowControl/>
              <w:ind w:firstLine="440" w:firstLineChars="200"/>
              <w:jc w:val="left"/>
              <w:rPr>
                <w:rFonts w:hint="eastAsia" w:ascii="黑体" w:hAnsi="黑体" w:eastAsia="黑体" w:cs="黑体"/>
                <w:sz w:val="22"/>
                <w:szCs w:val="22"/>
              </w:rPr>
            </w:pPr>
            <w:r>
              <w:rPr>
                <w:rFonts w:hint="eastAsia" w:ascii="黑体" w:hAnsi="黑体" w:eastAsia="黑体" w:cs="黑体"/>
                <w:sz w:val="22"/>
                <w:szCs w:val="22"/>
              </w:rPr>
              <w:t xml:space="preserve">T1a肿瘤最大径≤1cm </w:t>
            </w:r>
          </w:p>
          <w:p>
            <w:pPr>
              <w:widowControl/>
              <w:ind w:firstLine="440" w:firstLineChars="200"/>
              <w:jc w:val="left"/>
              <w:rPr>
                <w:rFonts w:hint="eastAsia" w:ascii="黑体" w:hAnsi="黑体" w:eastAsia="黑体" w:cs="黑体"/>
                <w:sz w:val="22"/>
                <w:szCs w:val="22"/>
              </w:rPr>
            </w:pPr>
            <w:r>
              <w:rPr>
                <w:rFonts w:hint="eastAsia" w:ascii="黑体" w:hAnsi="黑体" w:eastAsia="黑体" w:cs="黑体"/>
                <w:sz w:val="22"/>
                <w:szCs w:val="22"/>
              </w:rPr>
              <w:t xml:space="preserve">T1b肿瘤最大径＞1cm，≤2cm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pT2：肿瘤 2～4cm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pT3：肿瘤&gt;4cm，局限于甲状腺内或大体侵犯甲状腺外带状肌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pT3a：肿瘤&gt;4cm，局限于甲状腺内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pT3b：大体侵犯甲状腺外带状肌，无论肿瘤大小 </w:t>
            </w:r>
          </w:p>
          <w:p>
            <w:pPr>
              <w:widowControl/>
              <w:ind w:firstLine="660" w:firstLineChars="300"/>
              <w:jc w:val="left"/>
              <w:rPr>
                <w:rFonts w:hint="eastAsia" w:ascii="黑体" w:hAnsi="黑体" w:eastAsia="黑体" w:cs="黑体"/>
                <w:sz w:val="22"/>
                <w:szCs w:val="22"/>
              </w:rPr>
            </w:pPr>
            <w:r>
              <w:rPr>
                <w:rFonts w:hint="eastAsia" w:ascii="黑体" w:hAnsi="黑体" w:eastAsia="黑体" w:cs="黑体"/>
                <w:sz w:val="22"/>
                <w:szCs w:val="22"/>
              </w:rPr>
              <w:t xml:space="preserve">带状肌包括：胸骨舌骨肌、胸骨甲状肌、甲状舌骨肌、肩胛舌骨肌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pT4：进展期病变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pT4a：中度进展，任何大小的肿瘤，侵犯甲状腺外颈部周围器官和软组织，如喉、气管、食 管、喉反神经及皮下软组织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pT4b：重度进展，任何大小的肿瘤，侵犯椎前筋膜，或包裹颈动脉、纵隔血管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区域淋巴结：适用于所有甲状腺癌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pNx：区域淋巴结无法评估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pN0：无淋巴结转移证据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pN1：区域淋巴结转移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pN1a：转移至Ⅵ、Ⅶ区（包括气管旁、气管前、喉前/Delphian 或上纵隔）淋巴结，可以为单侧或双侧。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pN1b：单侧、双侧或对侧颈淋巴结转移（包括Ⅰ、Ⅱ、Ⅲ、Ⅳ或Ⅴ区）淋巴结或咽后淋巴结转移。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远处转移：适用于所有甲状腺癌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M0：无远处转移 </w:t>
            </w:r>
          </w:p>
          <w:p>
            <w:pPr>
              <w:widowControl/>
              <w:jc w:val="left"/>
              <w:rPr>
                <w:rFonts w:hint="eastAsia" w:ascii="黑体" w:hAnsi="黑体" w:eastAsia="黑体" w:cs="黑体"/>
                <w:sz w:val="22"/>
                <w:szCs w:val="22"/>
              </w:rPr>
            </w:pPr>
            <w:r>
              <w:rPr>
                <w:rFonts w:hint="eastAsia" w:ascii="黑体" w:hAnsi="黑体" w:eastAsia="黑体" w:cs="黑体"/>
                <w:sz w:val="22"/>
                <w:szCs w:val="22"/>
              </w:rPr>
              <w:t>M1：有远处转移</w:t>
            </w:r>
          </w:p>
          <w:p>
            <w:pPr>
              <w:widowControl/>
              <w:jc w:val="left"/>
              <w:rPr>
                <w:rFonts w:hint="eastAsia" w:ascii="黑体" w:hAnsi="黑体" w:eastAsia="黑体" w:cs="黑体"/>
                <w:sz w:val="22"/>
                <w:szCs w:val="22"/>
              </w:rPr>
            </w:pPr>
          </w:p>
          <w:tbl>
            <w:tblPr>
              <w:tblStyle w:val="225"/>
              <w:tblW w:w="4473" w:type="dxa"/>
              <w:jc w:val="center"/>
              <w:tblLayout w:type="fixed"/>
              <w:tblCellMar>
                <w:top w:w="0" w:type="dxa"/>
                <w:left w:w="0" w:type="dxa"/>
                <w:bottom w:w="0" w:type="dxa"/>
                <w:right w:w="115" w:type="dxa"/>
              </w:tblCellMar>
            </w:tblPr>
            <w:tblGrid>
              <w:gridCol w:w="2079"/>
              <w:gridCol w:w="1056"/>
              <w:gridCol w:w="825"/>
              <w:gridCol w:w="513"/>
            </w:tblGrid>
            <w:tr>
              <w:tblPrEx>
                <w:tblCellMar>
                  <w:top w:w="0" w:type="dxa"/>
                  <w:left w:w="0" w:type="dxa"/>
                  <w:bottom w:w="0" w:type="dxa"/>
                  <w:right w:w="115" w:type="dxa"/>
                </w:tblCellMar>
              </w:tblPrEx>
              <w:trPr>
                <w:trHeight w:val="322" w:hRule="atLeast"/>
                <w:jc w:val="center"/>
              </w:trPr>
              <w:tc>
                <w:tcPr>
                  <w:tcW w:w="3135" w:type="dxa"/>
                  <w:gridSpan w:val="2"/>
                  <w:tcBorders>
                    <w:top w:val="single" w:color="000000" w:sz="4" w:space="0"/>
                    <w:left w:val="single" w:color="000000" w:sz="4" w:space="0"/>
                    <w:bottom w:val="single" w:color="000000" w:sz="4" w:space="0"/>
                    <w:right w:val="nil"/>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乳头状或滤泡状癌（分化型）</w:t>
                  </w:r>
                </w:p>
              </w:tc>
              <w:tc>
                <w:tcPr>
                  <w:tcW w:w="825" w:type="dxa"/>
                  <w:tcBorders>
                    <w:top w:val="single" w:color="000000" w:sz="4" w:space="0"/>
                    <w:left w:val="nil"/>
                    <w:bottom w:val="single" w:color="000000" w:sz="4" w:space="0"/>
                    <w:right w:val="nil"/>
                  </w:tcBorders>
                </w:tcPr>
                <w:p>
                  <w:pPr>
                    <w:spacing w:after="160" w:line="259" w:lineRule="auto"/>
                    <w:jc w:val="center"/>
                    <w:rPr>
                      <w:rFonts w:hint="eastAsia" w:ascii="黑体" w:hAnsi="黑体" w:eastAsia="黑体" w:cs="黑体"/>
                      <w:sz w:val="22"/>
                      <w:szCs w:val="22"/>
                    </w:rPr>
                  </w:pPr>
                </w:p>
              </w:tc>
              <w:tc>
                <w:tcPr>
                  <w:tcW w:w="513" w:type="dxa"/>
                  <w:tcBorders>
                    <w:top w:val="single" w:color="000000" w:sz="4" w:space="0"/>
                    <w:left w:val="nil"/>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4" w:hRule="atLeast"/>
                <w:jc w:val="center"/>
              </w:trPr>
              <w:tc>
                <w:tcPr>
                  <w:tcW w:w="3135" w:type="dxa"/>
                  <w:gridSpan w:val="2"/>
                  <w:tcBorders>
                    <w:top w:val="single" w:color="000000" w:sz="4" w:space="0"/>
                    <w:left w:val="single" w:color="000000" w:sz="4" w:space="0"/>
                    <w:bottom w:val="single" w:color="000000" w:sz="4" w:space="0"/>
                    <w:right w:val="nil"/>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年龄&lt;55岁</w:t>
                  </w:r>
                </w:p>
              </w:tc>
              <w:tc>
                <w:tcPr>
                  <w:tcW w:w="825" w:type="dxa"/>
                  <w:tcBorders>
                    <w:top w:val="single" w:color="000000" w:sz="4" w:space="0"/>
                    <w:left w:val="nil"/>
                    <w:bottom w:val="single" w:color="000000" w:sz="4" w:space="0"/>
                    <w:right w:val="nil"/>
                  </w:tcBorders>
                </w:tcPr>
                <w:p>
                  <w:pPr>
                    <w:spacing w:after="160" w:line="259" w:lineRule="auto"/>
                    <w:jc w:val="center"/>
                    <w:rPr>
                      <w:rFonts w:hint="eastAsia" w:ascii="黑体" w:hAnsi="黑体" w:eastAsia="黑体" w:cs="黑体"/>
                      <w:sz w:val="22"/>
                      <w:szCs w:val="22"/>
                    </w:rPr>
                  </w:pPr>
                </w:p>
              </w:tc>
              <w:tc>
                <w:tcPr>
                  <w:tcW w:w="513" w:type="dxa"/>
                  <w:tcBorders>
                    <w:top w:val="single" w:color="000000" w:sz="4" w:space="0"/>
                    <w:left w:val="nil"/>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2"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T</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N</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M</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Ⅰ期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auto"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Ⅱ期</w:t>
                  </w:r>
                </w:p>
              </w:tc>
              <w:tc>
                <w:tcPr>
                  <w:tcW w:w="1056" w:type="dxa"/>
                  <w:tcBorders>
                    <w:top w:val="single" w:color="000000" w:sz="4" w:space="0"/>
                    <w:left w:val="single" w:color="000000" w:sz="4" w:space="0"/>
                    <w:bottom w:val="single" w:color="auto"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auto"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auto"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1</w:t>
                  </w:r>
                </w:p>
              </w:tc>
            </w:tr>
            <w:tr>
              <w:tblPrEx>
                <w:tblCellMar>
                  <w:top w:w="0" w:type="dxa"/>
                  <w:left w:w="0" w:type="dxa"/>
                  <w:bottom w:w="0" w:type="dxa"/>
                  <w:right w:w="115" w:type="dxa"/>
                </w:tblCellMar>
              </w:tblPrEx>
              <w:trPr>
                <w:trHeight w:val="322" w:hRule="atLeast"/>
                <w:jc w:val="center"/>
              </w:trPr>
              <w:tc>
                <w:tcPr>
                  <w:tcW w:w="3135" w:type="dxa"/>
                  <w:gridSpan w:val="2"/>
                  <w:tcBorders>
                    <w:top w:val="single" w:color="auto" w:sz="4" w:space="0"/>
                    <w:left w:val="single" w:color="auto" w:sz="4" w:space="0"/>
                    <w:bottom w:val="single" w:color="auto" w:sz="4" w:space="0"/>
                    <w:right w:val="single" w:color="auto" w:sz="4" w:space="0"/>
                  </w:tcBorders>
                </w:tcPr>
                <w:p>
                  <w:pPr>
                    <w:spacing w:line="259" w:lineRule="auto"/>
                    <w:ind w:left="-42"/>
                    <w:jc w:val="center"/>
                    <w:rPr>
                      <w:rFonts w:hint="eastAsia" w:ascii="黑体" w:hAnsi="黑体" w:eastAsia="黑体" w:cs="黑体"/>
                      <w:sz w:val="22"/>
                      <w:szCs w:val="22"/>
                    </w:rPr>
                  </w:pPr>
                  <w:r>
                    <w:rPr>
                      <w:rFonts w:hint="eastAsia" w:ascii="黑体" w:hAnsi="黑体" w:eastAsia="黑体" w:cs="黑体"/>
                      <w:sz w:val="22"/>
                      <w:szCs w:val="22"/>
                    </w:rPr>
                    <w:t>年龄≥55岁</w:t>
                  </w:r>
                </w:p>
              </w:tc>
              <w:tc>
                <w:tcPr>
                  <w:tcW w:w="825" w:type="dxa"/>
                  <w:tcBorders>
                    <w:top w:val="single" w:color="auto" w:sz="4" w:space="0"/>
                    <w:left w:val="single" w:color="auto" w:sz="4" w:space="0"/>
                    <w:bottom w:val="single" w:color="auto" w:sz="4" w:space="0"/>
                    <w:right w:val="single" w:color="auto" w:sz="4" w:space="0"/>
                  </w:tcBorders>
                </w:tcPr>
                <w:p>
                  <w:pPr>
                    <w:spacing w:after="160" w:line="259" w:lineRule="auto"/>
                    <w:jc w:val="center"/>
                    <w:rPr>
                      <w:rFonts w:hint="eastAsia" w:ascii="黑体" w:hAnsi="黑体" w:eastAsia="黑体" w:cs="黑体"/>
                      <w:sz w:val="22"/>
                      <w:szCs w:val="22"/>
                    </w:rPr>
                  </w:pPr>
                </w:p>
              </w:tc>
              <w:tc>
                <w:tcPr>
                  <w:tcW w:w="513" w:type="dxa"/>
                  <w:tcBorders>
                    <w:top w:val="single" w:color="auto" w:sz="4" w:space="0"/>
                    <w:left w:val="single" w:color="auto" w:sz="4" w:space="0"/>
                    <w:bottom w:val="single" w:color="auto" w:sz="4" w:space="0"/>
                    <w:right w:val="single" w:color="auto"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4" w:hRule="atLeast"/>
                <w:jc w:val="center"/>
              </w:trPr>
              <w:tc>
                <w:tcPr>
                  <w:tcW w:w="2079" w:type="dxa"/>
                  <w:vMerge w:val="restart"/>
                  <w:tcBorders>
                    <w:top w:val="single" w:color="auto"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Ⅰ期</w:t>
                  </w:r>
                </w:p>
              </w:tc>
              <w:tc>
                <w:tcPr>
                  <w:tcW w:w="1056" w:type="dxa"/>
                  <w:tcBorders>
                    <w:top w:val="single" w:color="auto"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w:t>
                  </w:r>
                </w:p>
              </w:tc>
              <w:tc>
                <w:tcPr>
                  <w:tcW w:w="825" w:type="dxa"/>
                  <w:tcBorders>
                    <w:top w:val="single" w:color="auto"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0/x</w:t>
                  </w:r>
                </w:p>
              </w:tc>
              <w:tc>
                <w:tcPr>
                  <w:tcW w:w="513" w:type="dxa"/>
                  <w:tcBorders>
                    <w:top w:val="single" w:color="auto"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5" w:hRule="atLeast"/>
                <w:jc w:val="center"/>
              </w:trPr>
              <w:tc>
                <w:tcPr>
                  <w:tcW w:w="2079" w:type="dxa"/>
                  <w:vMerge w:val="continue"/>
                  <w:tcBorders>
                    <w:top w:val="nil"/>
                    <w:left w:val="single" w:color="000000" w:sz="4" w:space="0"/>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2</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0/x</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2" w:hRule="atLeast"/>
                <w:jc w:val="center"/>
              </w:trPr>
              <w:tc>
                <w:tcPr>
                  <w:tcW w:w="2079" w:type="dxa"/>
                  <w:vMerge w:val="restart"/>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Ⅱ期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1～2</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vMerge w:val="continue"/>
                  <w:tcBorders>
                    <w:top w:val="nil"/>
                    <w:left w:val="single" w:color="000000" w:sz="4" w:space="0"/>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3a～3b</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Ⅲ期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4a</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2"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ⅣA期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4b</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ⅣB期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1</w:t>
                  </w:r>
                </w:p>
              </w:tc>
            </w:tr>
            <w:tr>
              <w:tblPrEx>
                <w:tblCellMar>
                  <w:top w:w="0" w:type="dxa"/>
                  <w:left w:w="0" w:type="dxa"/>
                  <w:bottom w:w="0" w:type="dxa"/>
                  <w:right w:w="115" w:type="dxa"/>
                </w:tblCellMar>
              </w:tblPrEx>
              <w:trPr>
                <w:trHeight w:val="324" w:hRule="atLeast"/>
                <w:jc w:val="center"/>
              </w:trPr>
              <w:tc>
                <w:tcPr>
                  <w:tcW w:w="3135" w:type="dxa"/>
                  <w:gridSpan w:val="2"/>
                  <w:tcBorders>
                    <w:top w:val="single" w:color="000000" w:sz="4" w:space="0"/>
                    <w:left w:val="single" w:color="000000" w:sz="4" w:space="0"/>
                    <w:bottom w:val="single" w:color="000000" w:sz="4" w:space="0"/>
                    <w:right w:val="nil"/>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髓样癌（所有年龄组）</w:t>
                  </w:r>
                </w:p>
              </w:tc>
              <w:tc>
                <w:tcPr>
                  <w:tcW w:w="825" w:type="dxa"/>
                  <w:tcBorders>
                    <w:top w:val="single" w:color="000000" w:sz="4" w:space="0"/>
                    <w:left w:val="nil"/>
                    <w:bottom w:val="single" w:color="000000" w:sz="4" w:space="0"/>
                    <w:right w:val="nil"/>
                  </w:tcBorders>
                </w:tcPr>
                <w:p>
                  <w:pPr>
                    <w:spacing w:after="160" w:line="259" w:lineRule="auto"/>
                    <w:jc w:val="center"/>
                    <w:rPr>
                      <w:rFonts w:hint="eastAsia" w:ascii="黑体" w:hAnsi="黑体" w:eastAsia="黑体" w:cs="黑体"/>
                      <w:sz w:val="22"/>
                      <w:szCs w:val="22"/>
                    </w:rPr>
                  </w:pPr>
                </w:p>
              </w:tc>
              <w:tc>
                <w:tcPr>
                  <w:tcW w:w="513" w:type="dxa"/>
                  <w:tcBorders>
                    <w:top w:val="single" w:color="000000" w:sz="4" w:space="0"/>
                    <w:left w:val="nil"/>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2"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Ⅰ期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0</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Ⅱ期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2～3</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0</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Ⅲ期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1～3</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1a</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ⅣA期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4a</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2"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1～3</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1b</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ⅣB期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4b</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ⅣC期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1</w:t>
                  </w:r>
                </w:p>
              </w:tc>
            </w:tr>
            <w:tr>
              <w:tblPrEx>
                <w:tblCellMar>
                  <w:top w:w="0" w:type="dxa"/>
                  <w:left w:w="0" w:type="dxa"/>
                  <w:bottom w:w="0" w:type="dxa"/>
                  <w:right w:w="115" w:type="dxa"/>
                </w:tblCellMar>
              </w:tblPrEx>
              <w:trPr>
                <w:trHeight w:val="168" w:hRule="atLeast"/>
                <w:jc w:val="center"/>
              </w:trPr>
              <w:tc>
                <w:tcPr>
                  <w:tcW w:w="3135" w:type="dxa"/>
                  <w:gridSpan w:val="2"/>
                  <w:tcBorders>
                    <w:top w:val="single" w:color="000000" w:sz="4" w:space="0"/>
                    <w:left w:val="single" w:color="000000" w:sz="4" w:space="0"/>
                    <w:bottom w:val="single" w:color="000000" w:sz="4" w:space="0"/>
                    <w:right w:val="nil"/>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未分化癌（所有年龄组）</w:t>
                  </w:r>
                </w:p>
              </w:tc>
              <w:tc>
                <w:tcPr>
                  <w:tcW w:w="825" w:type="dxa"/>
                  <w:tcBorders>
                    <w:top w:val="single" w:color="000000" w:sz="4" w:space="0"/>
                    <w:left w:val="nil"/>
                    <w:bottom w:val="single" w:color="000000" w:sz="4" w:space="0"/>
                    <w:right w:val="nil"/>
                  </w:tcBorders>
                </w:tcPr>
                <w:p>
                  <w:pPr>
                    <w:spacing w:after="160" w:line="259" w:lineRule="auto"/>
                    <w:jc w:val="center"/>
                    <w:rPr>
                      <w:rFonts w:hint="eastAsia" w:ascii="黑体" w:hAnsi="黑体" w:eastAsia="黑体" w:cs="黑体"/>
                      <w:sz w:val="22"/>
                      <w:szCs w:val="22"/>
                    </w:rPr>
                  </w:pPr>
                </w:p>
              </w:tc>
              <w:tc>
                <w:tcPr>
                  <w:tcW w:w="513" w:type="dxa"/>
                  <w:tcBorders>
                    <w:top w:val="single" w:color="000000" w:sz="4" w:space="0"/>
                    <w:left w:val="nil"/>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ⅣA期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1～3a</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0/x</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ⅣB期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1～3a</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2" w:hRule="atLeast"/>
                <w:jc w:val="center"/>
              </w:trPr>
              <w:tc>
                <w:tcPr>
                  <w:tcW w:w="2079" w:type="dxa"/>
                  <w:vMerge w:val="continue"/>
                  <w:tcBorders>
                    <w:top w:val="nil"/>
                    <w:left w:val="single" w:color="000000" w:sz="4" w:space="0"/>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3b～4</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ⅣC期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1</w:t>
                  </w:r>
                </w:p>
              </w:tc>
            </w:tr>
          </w:tbl>
          <w:p>
            <w:pPr>
              <w:widowControl/>
              <w:jc w:val="left"/>
              <w:rPr>
                <w:rFonts w:hint="eastAsia" w:ascii="黑体" w:hAnsi="黑体" w:eastAsia="黑体" w:cs="黑体"/>
                <w:b/>
                <w:sz w:val="22"/>
                <w:szCs w:val="22"/>
              </w:rPr>
            </w:pPr>
            <w:r>
              <w:rPr>
                <w:rFonts w:hint="eastAsia" w:ascii="黑体" w:hAnsi="黑体" w:eastAsia="黑体" w:cs="黑体"/>
                <w:sz w:val="22"/>
                <w:szCs w:val="22"/>
              </w:rPr>
              <w:t xml:space="preserve">      注：以上表格中“年龄”指患者病理组织标本获取日期时的年龄。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 较重急性心肌梗死</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较重急性心肌梗死指依照上述标准被明确诊断为急性心肌梗死，并且必须同时满足下列至少一项条件：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1.心肌损伤标志物肌钙蛋白（cTn）升高，至少一次检测结果达到该检验正常参考值上限的15 倍（含）以上；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2.肌酸激酶同工酶（CK-MB）升高，至少一次检测结果达到该检验正常参考值上限的2倍（含）以上；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3.出现左心室收缩功能下降，在确诊6周以后，检测左室射血分数（LVEF）低于 50%（不含）；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4.影像学检查证实存在新发的乳头肌功能失调或断裂引起的中度（含）以上的二尖瓣反流；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5.影像学检查证实存在新出现的室壁瘤； 6.出现室性心动过速、心室颤动或心源性休克。 </w:t>
            </w:r>
          </w:p>
          <w:p>
            <w:pPr>
              <w:widowControl/>
              <w:jc w:val="left"/>
              <w:rPr>
                <w:rFonts w:hint="eastAsia" w:ascii="黑体" w:hAnsi="黑体" w:eastAsia="黑体" w:cs="黑体"/>
                <w:b/>
                <w:sz w:val="22"/>
                <w:szCs w:val="22"/>
              </w:rPr>
            </w:pPr>
            <w:r>
              <w:rPr>
                <w:rFonts w:hint="eastAsia" w:ascii="黑体" w:hAnsi="黑体" w:eastAsia="黑体" w:cs="黑体"/>
                <w:sz w:val="22"/>
                <w:szCs w:val="22"/>
              </w:rPr>
              <w:t>其他非冠状动脉阻塞性疾病所引起的肌钙蛋白（cTn）升高不在保障范围内。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 严重脑中风后遗症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指因脑血管的突发病变引起脑血管出血、栓塞或梗塞，须由头颅断层扫描（CT）、核磁共振检查（MRI）等影像学检查证实，并导致神经系统永久性的功能障碍。 神经系统永久性的功能障碍，指疾病确诊 180 天后，仍遗留下列至少一种障碍：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一肢（含）以上肢体肌力2 级（含）以下；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语言能力完全丧失，或严重咀嚼吞咽功能障碍； </w:t>
            </w:r>
          </w:p>
          <w:p>
            <w:pPr>
              <w:widowControl/>
              <w:jc w:val="left"/>
              <w:rPr>
                <w:rFonts w:hint="eastAsia" w:ascii="黑体" w:hAnsi="黑体" w:eastAsia="黑体" w:cs="黑体"/>
                <w:b/>
                <w:sz w:val="22"/>
                <w:szCs w:val="22"/>
              </w:rPr>
            </w:pPr>
            <w:r>
              <w:rPr>
                <w:rFonts w:hint="eastAsia" w:ascii="黑体" w:hAnsi="黑体" w:eastAsia="黑体" w:cs="黑体"/>
                <w:sz w:val="22"/>
                <w:szCs w:val="22"/>
              </w:rPr>
              <w:t>3. 自主生活能力完全丧失，无法独立完成六项基本日常生活活动中的三项或三项以上。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 重大器官移植术或造血干细胞移植术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重大器官移植术，指因相应器官功能衰竭，已经实施了肾脏、肝脏、心脏、肺脏或小肠的异体移植手术。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造血干细胞移植术，指因造血功能损害或造血系统恶性肿瘤，已经实施了造血干细胞（包括骨髓造血干细胞、外周血造血干细胞和脐血造血干细胞）的移植手术。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 冠状动脉搭桥术（或称冠状动脉旁路移植术）</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指为治疗严重的冠心病，已经实施了切开心包进行的冠状动脉血管旁路移植的手术。所有未切开心包的冠状动脉介入治疗不在保障范围内。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6严重慢性肾衰竭</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指双肾功能慢性不可逆性衰竭，依据肾脏病预后质量倡议（K/DOQI）制定的指南，分期达到慢性肾脏病5期，且经诊断后已经进行了至少 90 天的规律性透析治疗。规律性透析是指每周进行血液透析或每天进行腹膜透析。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7多个肢体缺失</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指因疾病或意外伤害导致两个或两个以上肢体自腕关节或踝关节近端（靠近躯干端）以上完全性断离。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 急性重症肝炎或亚急性重症肝炎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指因肝炎病毒感染引起肝脏组织弥漫性坏死，导致急性肝功能衰竭，且经血清学或病毒学检查证实，并须满足下列全部条件：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重度黄疸或黄疸迅速加重；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肝性脑病；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B 超或其他影像学检查显示肝脏体积急速萎缩； </w:t>
            </w:r>
          </w:p>
          <w:p>
            <w:pPr>
              <w:widowControl/>
              <w:jc w:val="left"/>
              <w:rPr>
                <w:rFonts w:hint="eastAsia" w:ascii="黑体" w:hAnsi="黑体" w:eastAsia="黑体" w:cs="黑体"/>
                <w:b/>
                <w:sz w:val="22"/>
                <w:szCs w:val="22"/>
              </w:rPr>
            </w:pPr>
            <w:r>
              <w:rPr>
                <w:rFonts w:hint="eastAsia" w:ascii="黑体" w:hAnsi="黑体" w:eastAsia="黑体" w:cs="黑体"/>
                <w:sz w:val="22"/>
                <w:szCs w:val="22"/>
              </w:rPr>
              <w:t>4. 肝功能指标进行性恶化。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 严重非恶性颅内肿瘤</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指起源于脑、脑神经、脑被膜的非恶性肿瘤，ICD-0-3 肿瘤形态学编码属于 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已经实施了开颅进行的颅内肿瘤完全切除或部分切除的手术；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已经实施了针对颅内肿瘤的放射治疗，如γ刀、质子重离子治疗等。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下列疾病不在保障范围内：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脑垂体瘤；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2.脑囊肿； </w:t>
            </w:r>
          </w:p>
          <w:p>
            <w:pPr>
              <w:widowControl/>
              <w:jc w:val="left"/>
              <w:rPr>
                <w:rFonts w:hint="eastAsia" w:ascii="黑体" w:hAnsi="黑体" w:eastAsia="黑体" w:cs="黑体"/>
                <w:b/>
                <w:sz w:val="22"/>
                <w:szCs w:val="22"/>
              </w:rPr>
            </w:pPr>
            <w:r>
              <w:rPr>
                <w:rFonts w:hint="eastAsia" w:ascii="黑体" w:hAnsi="黑体" w:eastAsia="黑体" w:cs="黑体"/>
                <w:sz w:val="22"/>
                <w:szCs w:val="22"/>
              </w:rPr>
              <w:t>3.颅内血管性疾病（如脑动脉瘤、脑动静脉畸形、海绵状血管瘤、毛细血管扩张症等）。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10 严重慢性肝衰竭</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指因慢性肝脏疾病导致的肝衰竭。须满足下列全部条件：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持续性黄疸；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腹水；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肝性脑病； </w:t>
            </w:r>
          </w:p>
          <w:p>
            <w:pPr>
              <w:widowControl/>
              <w:jc w:val="left"/>
              <w:rPr>
                <w:rFonts w:hint="eastAsia" w:ascii="黑体" w:hAnsi="黑体" w:eastAsia="黑体" w:cs="黑体"/>
                <w:b/>
                <w:sz w:val="22"/>
                <w:szCs w:val="22"/>
              </w:rPr>
            </w:pPr>
            <w:r>
              <w:rPr>
                <w:rFonts w:hint="eastAsia" w:ascii="黑体" w:hAnsi="黑体" w:eastAsia="黑体" w:cs="黑体"/>
                <w:sz w:val="22"/>
                <w:szCs w:val="22"/>
              </w:rPr>
              <w:t>4. 充血性脾肿大伴脾功能亢进或食管胃底静脉曲张。因酗酒或药物滥用导致的肝衰竭不在保障范围内。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11 严重脑炎后遗症或严重脑膜炎后遗症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指因患脑炎或脑膜炎导致的神经系统永久性的功能障碍。神经系统永久性的功能障碍，指经相关专科医生确诊疾病 180 天后，仍遗留下列至少一种障碍：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一肢（含）以上肢体肌力 2 级（含）以下；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语言能力完全丧失，或严重咀嚼吞咽功能障碍；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由具有评估资格的专科医生根据临床痴呆评定量表（CDR，Clinical Dementia Rating）评估结果为 3 分； </w:t>
            </w:r>
          </w:p>
          <w:p>
            <w:pPr>
              <w:widowControl/>
              <w:jc w:val="left"/>
              <w:rPr>
                <w:rFonts w:hint="eastAsia" w:ascii="黑体" w:hAnsi="黑体" w:eastAsia="黑体" w:cs="黑体"/>
                <w:b/>
                <w:sz w:val="22"/>
                <w:szCs w:val="22"/>
              </w:rPr>
            </w:pPr>
            <w:r>
              <w:rPr>
                <w:rFonts w:hint="eastAsia" w:ascii="黑体" w:hAnsi="黑体" w:eastAsia="黑体" w:cs="黑体"/>
                <w:sz w:val="22"/>
                <w:szCs w:val="22"/>
              </w:rPr>
              <w:t>4. 自主生活能力完全丧失，无法独立完成六项基本日常生活活动中的三项或三项以上。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12 深度昏迷</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指因疾病或意外伤害导致意识丧失,对外界刺激和体内需求均无反应,昏迷程度按照格拉斯哥昏迷分级（GCS，Glasgow Coma Scale）结果为 5 分或 5 分以下，且已经持续使用呼吸机及其他生命维持系统 96 小时以上。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因酗酒或药物滥用导致的深度昏迷不在保障范围内。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13 双耳失聪</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指因疾病或意外伤害导致双耳听力永久不可逆性丧失，在 500 赫兹、1000 赫兹和 2000 赫兹语音频率下，平均听阈大于等于 91 分贝，且经纯音听力测试、声导抗检测或听觉诱发电位检测等证实。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14 双目失明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指因疾病或意外伤害导致双眼视力永久不可逆性丧失，双眼中较好眼须满足下列至少一项条件：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眼球缺失或摘除；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矫正视力低于 0.02（采用国际标准视力表，如果使用其他视力表应进行换算）； </w:t>
            </w:r>
          </w:p>
          <w:p>
            <w:pPr>
              <w:widowControl/>
              <w:jc w:val="left"/>
              <w:rPr>
                <w:rFonts w:hint="eastAsia" w:ascii="黑体" w:hAnsi="黑体" w:eastAsia="黑体" w:cs="黑体"/>
                <w:b/>
                <w:sz w:val="22"/>
                <w:szCs w:val="22"/>
              </w:rPr>
            </w:pPr>
            <w:r>
              <w:rPr>
                <w:rFonts w:hint="eastAsia" w:ascii="黑体" w:hAnsi="黑体" w:eastAsia="黑体" w:cs="黑体"/>
                <w:sz w:val="22"/>
                <w:szCs w:val="22"/>
              </w:rPr>
              <w:t>3. 视野半径小于5度。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15 瘫痪</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指因疾病或意外伤害导致两肢或两肢以上肢体随意运动功能永久完全丧失。 </w:t>
            </w:r>
          </w:p>
          <w:p>
            <w:pPr>
              <w:widowControl/>
              <w:jc w:val="left"/>
              <w:rPr>
                <w:rFonts w:hint="eastAsia" w:ascii="黑体" w:hAnsi="黑体" w:eastAsia="黑体" w:cs="黑体"/>
                <w:b/>
                <w:sz w:val="22"/>
                <w:szCs w:val="22"/>
              </w:rPr>
            </w:pPr>
            <w:r>
              <w:rPr>
                <w:rFonts w:hint="eastAsia" w:ascii="黑体" w:hAnsi="黑体" w:eastAsia="黑体" w:cs="黑体"/>
                <w:sz w:val="22"/>
                <w:szCs w:val="22"/>
              </w:rPr>
              <w:t>肢体随意运动功能永久完全丧失，指疾病确诊180天后或意外伤害发生180天后，每肢三大关节中的两大关节仍然完全僵硬，或肢体肌力在 2 级（含）以下。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16 心脏瓣膜手术</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指为治疗心脏瓣膜疾病，已经实施了切开心脏进行的心脏瓣膜置换或修复的手术。 所有未切开心脏的心脏瓣膜介入手术不在保障范围内。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17 严重阿尔茨海默病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由具有评估资格的专科医生根据临床痴呆评定量表（CDR，Clinical Dementia Rating）评 估结果为 3 分； </w:t>
            </w:r>
          </w:p>
          <w:p>
            <w:pPr>
              <w:widowControl/>
              <w:jc w:val="left"/>
              <w:rPr>
                <w:rFonts w:hint="eastAsia" w:ascii="黑体" w:hAnsi="黑体" w:eastAsia="黑体" w:cs="黑体"/>
                <w:b/>
                <w:sz w:val="22"/>
                <w:szCs w:val="22"/>
              </w:rPr>
            </w:pPr>
            <w:r>
              <w:rPr>
                <w:rFonts w:hint="eastAsia" w:ascii="黑体" w:hAnsi="黑体" w:eastAsia="黑体" w:cs="黑体"/>
                <w:sz w:val="22"/>
                <w:szCs w:val="22"/>
              </w:rPr>
              <w:t>2. 自主生活能力完全丧失，无法独立完成六项基本日常生活活动中的三项或三项以上。 阿尔茨海默病之外的其他类型痴呆不在保障范围内。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18 严重脑损伤</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头部遭受机械性外力，引起脑重要部位损伤，导致神经系统永久性的功能障碍。须由头颅断层扫描（CT）、核磁共振检查（MRI）或正电子发射断层扫描（PET）等影像学检查证实。神经系统永久性的功能障碍，指脑损伤 180 天后，仍遗留下列至少一种障碍：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一肢（含）以上肢体肌力 2 级（含）以下；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语言能力完全丧失，或严重咀嚼吞咽功能障碍； </w:t>
            </w:r>
          </w:p>
          <w:p>
            <w:pPr>
              <w:widowControl/>
              <w:jc w:val="left"/>
              <w:rPr>
                <w:rFonts w:hint="eastAsia" w:ascii="黑体" w:hAnsi="黑体" w:eastAsia="黑体" w:cs="黑体"/>
                <w:b/>
                <w:sz w:val="22"/>
                <w:szCs w:val="22"/>
              </w:rPr>
            </w:pPr>
            <w:r>
              <w:rPr>
                <w:rFonts w:hint="eastAsia" w:ascii="黑体" w:hAnsi="黑体" w:eastAsia="黑体" w:cs="黑体"/>
                <w:sz w:val="22"/>
                <w:szCs w:val="22"/>
              </w:rPr>
              <w:t>3. 自主生活能力完全丧失，无法独立完成六项基本日常生活活动中的三项或三项以上。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19 严重原发性帕金森病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是一种中枢神经系统的退行性疾病，临床表现为运动迟缓、静止性震颤或肌强直等，经相关专科医生确诊，且须满足自主生活能力完全丧失，无法独立完成六项基本日常生活活动中的三项或三项以上。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继发性帕金森综合征、帕金森叠加综合征不在保障范围内。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20 严重Ⅲ度烧伤</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指烧伤程度为Ⅲ度，且Ⅲ度烧伤的面积达到全身体表面积的 20%或 20%以上。体表面积根 据《中国新九分法》计算。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21 严重特发性肺动脉高压</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指不明原因的肺动脉压力持续性增高，进行性发展而导致的慢性疾病，已经造成永久不可逆性的体力活动能力受限，达到美国纽约心脏病学会（New York Heart Association，NYHA）心功能状态分级IV 级，且静息状态下肺动脉平均压在36mmHg（含）以上。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22 严重运动神经元病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是一组中枢神经系统运动神经元的进行性变性疾病，包括进行性脊肌萎缩症、进行性延髓麻痹症、原发性侧索硬化症、肌萎缩性侧索硬化症，经相关专科医生确诊，且须满足下列至少一项条件：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严重咀嚼吞咽功能障碍；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呼吸肌麻痹导致严重呼吸困难，且已经持续使用呼吸机 7 天（含）以上；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3. 自主生活能力完全丧失，无法独立完成六项基本日常生活活动中的三项或三项以上。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23 语言能力丧失</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指因疾病或意外伤害导致语言能力完全丧失，经过积极治疗至少 12 个月（声带完全切除不受此时间限制），仍无法通过现有医疗手段恢复。 </w:t>
            </w:r>
          </w:p>
          <w:p>
            <w:pPr>
              <w:widowControl/>
              <w:jc w:val="left"/>
              <w:rPr>
                <w:rFonts w:hint="eastAsia" w:ascii="黑体" w:hAnsi="黑体" w:eastAsia="黑体" w:cs="黑体"/>
                <w:b/>
                <w:sz w:val="22"/>
                <w:szCs w:val="22"/>
              </w:rPr>
            </w:pPr>
            <w:r>
              <w:rPr>
                <w:rFonts w:hint="eastAsia" w:ascii="黑体" w:hAnsi="黑体" w:eastAsia="黑体" w:cs="黑体"/>
                <w:sz w:val="22"/>
                <w:szCs w:val="22"/>
              </w:rPr>
              <w:t>精神心理因素所致的语言能力丧失不在保障范围内。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24 重型再生障碍性贫血</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指因骨髓造血功能慢性持续性衰竭导致的贫血、中性粒细胞减少及血小板减少，且须满足下列全部条件：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1. 骨髓穿刺检查或骨髓活检结果支持诊断：骨髓细胞增生程度&lt;50%，则残存的造血细胞应&lt;30%；</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外周血象须具备以下三项条件中的两项： </w:t>
            </w:r>
          </w:p>
          <w:p>
            <w:pPr>
              <w:widowControl/>
              <w:jc w:val="left"/>
              <w:rPr>
                <w:rFonts w:hint="eastAsia" w:ascii="黑体" w:hAnsi="黑体" w:eastAsia="黑体" w:cs="黑体"/>
                <w:sz w:val="22"/>
                <w:szCs w:val="22"/>
              </w:rPr>
            </w:pPr>
            <w:r>
              <w:rPr>
                <w:rFonts w:hint="eastAsia" w:ascii="黑体" w:hAnsi="黑体" w:eastAsia="黑体" w:cs="黑体"/>
                <w:sz w:val="22"/>
                <w:szCs w:val="22"/>
              </w:rPr>
              <w:t>（1）中性粒细胞绝对值&lt;0.5×109/L；</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（2）网织红细胞计数&lt;20×109 /L； </w:t>
            </w:r>
          </w:p>
          <w:p>
            <w:pPr>
              <w:widowControl/>
              <w:jc w:val="left"/>
              <w:rPr>
                <w:rFonts w:hint="eastAsia" w:ascii="黑体" w:hAnsi="黑体" w:eastAsia="黑体" w:cs="黑体"/>
                <w:b/>
                <w:sz w:val="22"/>
                <w:szCs w:val="22"/>
              </w:rPr>
            </w:pPr>
            <w:r>
              <w:rPr>
                <w:rFonts w:hint="eastAsia" w:ascii="黑体" w:hAnsi="黑体" w:eastAsia="黑体" w:cs="黑体"/>
                <w:sz w:val="22"/>
                <w:szCs w:val="22"/>
              </w:rPr>
              <w:t>（3）血小板绝对值&lt;20×109/L。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25 主动脉手术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指为治疗主动脉疾病或主动脉创伤，已经实施了开胸（含胸腔镜下）或开腹（含腹腔镜 下）进行的切除、置换、修补病损主动脉血管、主动脉创伤后修复的手术。主动脉指升主动脉、主动脉弓和降主动脉（含胸主动脉和腹主动脉），不包括升主动脉、主动脉弓和降主动脉的分支血管。 </w:t>
            </w:r>
          </w:p>
          <w:p>
            <w:pPr>
              <w:widowControl/>
              <w:jc w:val="left"/>
              <w:rPr>
                <w:rFonts w:hint="eastAsia" w:ascii="黑体" w:hAnsi="黑体" w:eastAsia="黑体" w:cs="黑体"/>
                <w:b/>
                <w:sz w:val="22"/>
                <w:szCs w:val="22"/>
              </w:rPr>
            </w:pPr>
            <w:r>
              <w:rPr>
                <w:rFonts w:hint="eastAsia" w:ascii="黑体" w:hAnsi="黑体" w:eastAsia="黑体" w:cs="黑体"/>
                <w:sz w:val="22"/>
                <w:szCs w:val="22"/>
              </w:rPr>
              <w:t>所有未实施开胸或开腹的动脉内介入治疗不在保障范围内。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26 严重慢性呼吸衰竭</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指因慢性呼吸系统疾病导致永久不可逆性的呼吸衰竭，经过积极治疗180天后满足以下所有条件：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静息时出现呼吸困难；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肺功能第一秒用力呼气容积（FEV1）占预计值的百分比＜30%； </w:t>
            </w:r>
          </w:p>
          <w:p>
            <w:pPr>
              <w:widowControl/>
              <w:jc w:val="left"/>
              <w:rPr>
                <w:rFonts w:hint="eastAsia" w:ascii="黑体" w:hAnsi="黑体" w:eastAsia="黑体" w:cs="黑体"/>
                <w:b/>
                <w:sz w:val="22"/>
                <w:szCs w:val="22"/>
              </w:rPr>
            </w:pPr>
            <w:r>
              <w:rPr>
                <w:rFonts w:hint="eastAsia" w:ascii="黑体" w:hAnsi="黑体" w:eastAsia="黑体" w:cs="黑体"/>
                <w:sz w:val="22"/>
                <w:szCs w:val="22"/>
              </w:rPr>
              <w:t>3. 在静息状态、呼吸空气条件下，动脉血氧分压（PaO2）＜50mmHg。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27 严重克罗恩病</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指一种慢性肉芽肿性肠炎，具有特征性的克罗恩病（Crohn病）病理组织学变化，须根据组织病理学特点诊断，且已经造成瘘管形成并伴有肠梗阻或肠穿孔。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28 严重溃疡性结肠炎</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指伴有致命性电解质紊乱的急性暴发性溃疡性结肠炎，病变已经累及全结肠，表现为严重的血便和系统性症状体征，须根据组织病理学特点诊断，且已经实施了结肠切除或回肠造瘘术。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29 侵蚀性葡萄胎（或称恶性葡萄胎）</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该类疾病是指异常增生的绒毛组织浸润性生长浸入子宫肌层或转移至其他器官或组织的葡萄胎，并已经进行化疗或手术治疗的。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30 原发性骨髓纤维化</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原发性骨髓纤维化为原因不明的骨髓中成纤维细胞增殖，伴有髓外造血，表现为进行性贫血、脾肿大等症状。本疾病须根据骨髓的活组织检查和周围血象检查由相关专科医生明确诊断，并至少符合下列条件中的三项，且符合条件的状态持续180天及以上，并已经实际实施了针对此症的治疗：</w:t>
            </w:r>
          </w:p>
          <w:p>
            <w:pPr>
              <w:widowControl/>
              <w:jc w:val="left"/>
              <w:rPr>
                <w:rFonts w:hint="eastAsia" w:ascii="黑体" w:hAnsi="黑体" w:eastAsia="黑体" w:cs="黑体"/>
                <w:sz w:val="22"/>
                <w:szCs w:val="22"/>
              </w:rPr>
            </w:pPr>
            <w:r>
              <w:rPr>
                <w:rFonts w:hint="eastAsia" w:ascii="黑体" w:hAnsi="黑体" w:eastAsia="黑体" w:cs="黑体"/>
                <w:sz w:val="22"/>
                <w:szCs w:val="22"/>
              </w:rPr>
              <w:t>1.血红蛋白&lt;100g/L；</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2.白细胞计数&gt;25*10^9 /L；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3.外周血原始细胞≥1%； </w:t>
            </w:r>
          </w:p>
          <w:p>
            <w:pPr>
              <w:widowControl/>
              <w:jc w:val="left"/>
              <w:rPr>
                <w:rFonts w:hint="eastAsia" w:ascii="黑体" w:hAnsi="黑体" w:eastAsia="黑体" w:cs="黑体"/>
                <w:b/>
                <w:sz w:val="22"/>
                <w:szCs w:val="22"/>
              </w:rPr>
            </w:pPr>
            <w:r>
              <w:rPr>
                <w:rFonts w:hint="eastAsia" w:ascii="黑体" w:hAnsi="黑体" w:eastAsia="黑体" w:cs="黑体"/>
                <w:sz w:val="22"/>
                <w:szCs w:val="22"/>
              </w:rPr>
              <w:t>4.血小板计数&lt;100*10^9 /L。任何其它病因导致的继发性骨髓纤维化不在保障范围内。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31 严重心肌炎</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指心肌局限性或弥漫性的急性或慢性炎症病变，导致心脏功能障碍，达到美国纽约心脏病学会心功能状态分级IV级，且需持续至少90天。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32 肺源性心脏病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指由于各种胸肺及支气管病变而继发的肺动脉高压，最后导致以右室肥大为特征的心脏病。须经相关专科医生确诊，且必须同时满足如下诊断标准：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左心房压力增高（不低于 20 个单位）；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肺血管阻力高于正常值 3 个单位（Pulmonary Resistance）；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肺动脉血压不低于 40 毫米汞柱；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肺动脉楔压不低于 6 毫米汞柱；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 右心室心脏舒张期末压力不低于 8 毫米汞柱； </w:t>
            </w:r>
          </w:p>
          <w:p>
            <w:pPr>
              <w:widowControl/>
              <w:jc w:val="left"/>
              <w:rPr>
                <w:rFonts w:hint="eastAsia" w:ascii="黑体" w:hAnsi="黑体" w:eastAsia="黑体" w:cs="黑体"/>
                <w:b/>
                <w:sz w:val="22"/>
                <w:szCs w:val="22"/>
              </w:rPr>
            </w:pPr>
            <w:r>
              <w:rPr>
                <w:rFonts w:hint="eastAsia" w:ascii="黑体" w:hAnsi="黑体" w:eastAsia="黑体" w:cs="黑体"/>
                <w:sz w:val="22"/>
                <w:szCs w:val="22"/>
              </w:rPr>
              <w:t>6. 右心室过度肥大、扩张，出现右心衰竭和呼吸困难。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33 感染性心内膜炎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指因细菌、真菌和其他微生物（如病毒、立克次体、衣原体、螺旋体等）直接感染而产生心瓣膜或心室壁内膜的炎症，须经相关专科医生确诊，并符合以下所有条件：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血液培养测试结果为阳性，并至少符合以下条件之一：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（1）微生物：在赘生物，栓塞的赘生物或心脏内脓肿培养或组织检查证实有微生物； （2）病理性病灶：组织检查证实赘生物或心脏内脓肿有活动性心内膜炎；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（3）分别两次血液培养证实有典型的微生物且与心内膜炎符合； </w:t>
            </w:r>
          </w:p>
          <w:p>
            <w:pPr>
              <w:widowControl/>
              <w:jc w:val="left"/>
              <w:rPr>
                <w:rFonts w:hint="eastAsia" w:ascii="黑体" w:hAnsi="黑体" w:eastAsia="黑体" w:cs="黑体"/>
                <w:sz w:val="22"/>
                <w:szCs w:val="22"/>
              </w:rPr>
            </w:pPr>
            <w:r>
              <w:rPr>
                <w:rFonts w:hint="eastAsia" w:ascii="黑体" w:hAnsi="黑体" w:eastAsia="黑体" w:cs="黑体"/>
                <w:sz w:val="22"/>
                <w:szCs w:val="22"/>
              </w:rPr>
              <w:t>（4）持续血液培养证实有微生物阳性反应，且与心内膜炎符合。</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心内膜炎引起中度心瓣膜关闭不全（指返流指数 20%或以上）或中度心瓣膜狭窄（指心 瓣膜开口范围小于或等于正常的 30%）； </w:t>
            </w:r>
          </w:p>
          <w:p>
            <w:pPr>
              <w:widowControl/>
              <w:jc w:val="left"/>
              <w:rPr>
                <w:rFonts w:hint="eastAsia" w:ascii="黑体" w:hAnsi="黑体" w:eastAsia="黑体" w:cs="黑体"/>
                <w:b/>
                <w:sz w:val="22"/>
                <w:szCs w:val="22"/>
              </w:rPr>
            </w:pPr>
            <w:r>
              <w:rPr>
                <w:rFonts w:hint="eastAsia" w:ascii="黑体" w:hAnsi="黑体" w:eastAsia="黑体" w:cs="黑体"/>
                <w:sz w:val="22"/>
                <w:szCs w:val="22"/>
              </w:rPr>
              <w:t>3. 心内膜炎及心瓣膜损毁程度需经由相关专科医生确诊。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34 严重慢性缩窄 性心包炎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由于慢性心包炎症导致心包脏层和壁层广泛瘢痕粘连、增厚和钙化，心包腔闭塞，形成一个纤维瘢痕外壳，使心脏和大血管根部受压，阻碍心脏的舒张。被保险人被明确诊断为慢性缩窄性心包炎且必须满足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心功能衰竭达到美国纽约心脏病学会心功能状态分级 IV 级，并持续 180 天以上； 2. 实际接受了以下任何一种手术路径的心包剥脱或心包切除手术；手术路径：胸骨正中切 口；双侧前胸切口；左前胸肋间切口。 </w:t>
            </w:r>
          </w:p>
          <w:p>
            <w:pPr>
              <w:widowControl/>
              <w:jc w:val="left"/>
              <w:rPr>
                <w:rFonts w:hint="eastAsia" w:ascii="黑体" w:hAnsi="黑体" w:eastAsia="黑体" w:cs="黑体"/>
                <w:b/>
                <w:sz w:val="22"/>
                <w:szCs w:val="22"/>
              </w:rPr>
            </w:pPr>
            <w:r>
              <w:rPr>
                <w:rFonts w:hint="eastAsia" w:ascii="黑体" w:hAnsi="黑体" w:eastAsia="黑体" w:cs="黑体"/>
                <w:sz w:val="22"/>
                <w:szCs w:val="22"/>
              </w:rPr>
              <w:t>经胸腔镜、胸壁打孔进行的手术、心包粘连松解手术不在保障范围内。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35 心脏粘液瘤</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为了治疗心脏粘液瘤，实际实施了开胸开心心脏粘液瘤切除手术。经导管介入手术治疗不在保障范围内。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36 艾森门格综合 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因心脏病导致的严重肺动脉高压及右向左分流。诊断必须由相关专科医生经超声心动图和 心导管检查证实及需符合以下所有标准：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平均肺动脉压高于40mmHg；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肺血管阻力高于3mm/L/min（Wood 单位）； </w:t>
            </w:r>
          </w:p>
          <w:p>
            <w:pPr>
              <w:widowControl/>
              <w:jc w:val="left"/>
              <w:rPr>
                <w:rFonts w:hint="eastAsia" w:ascii="黑体" w:hAnsi="黑体" w:eastAsia="黑体" w:cs="黑体"/>
                <w:b/>
                <w:sz w:val="22"/>
                <w:szCs w:val="22"/>
              </w:rPr>
            </w:pPr>
            <w:r>
              <w:rPr>
                <w:rFonts w:hint="eastAsia" w:ascii="黑体" w:hAnsi="黑体" w:eastAsia="黑体" w:cs="黑体"/>
                <w:sz w:val="22"/>
                <w:szCs w:val="22"/>
              </w:rPr>
              <w:t>3. 正常肺微血管楔压低于15mmHg；本公司承担本项疾病责任不受本合同责任免除中“遗传性疾病，先天性畸形、变形或染色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37Brugada综合征</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由相关专科医生根据临床症状和典型心电图表现明确诊断,并且经相关专科医生判断认为必须安装且实际已安装了永久性心脏除颤器。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38 头臂动脉型多 发性大动脉炎旁路移植手术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头臂动脉型多发性大动脉炎旁路移植手术：多发性大动脉炎（高安氏动脉炎）是一种发生在主动脉和其主要分支的慢性炎症性动脉疾病，表现为受累动脉狭窄或闭塞。头臂动脉型多发性大动脉炎是指多发性大动脉炎头臂动脉型（I 型），又称为无脉症。被保险人被明确诊断为头臂动脉型多发性大动脉炎并且实际接受了经胸部切开进行的无名动脉（头臂干）、颈总动脉、锁骨下动脉旁路移植手术。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非开胸的血管旁路移植手术、因其他病因而进行的旁路移植手术，对其他动脉进行的旁路移植手术，经皮经导管进行的血管内手术不在本保障范围内。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39 严重心肌病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不明原因引起的一类心肌病变，包括原发性扩张型心肌病、原发性肥厚型心肌病及原发性限制型心肌病三种，病变必须已造成事实上心室功能障碍而出现明显的心功能衰竭（美国纽约心脏病学会心功能状态分级Ⅳ级），且有相关住院医疗记录显示Ⅳ级心功能衰竭状态持续至少一百八十天。 </w:t>
            </w:r>
          </w:p>
          <w:p>
            <w:pPr>
              <w:widowControl/>
              <w:jc w:val="left"/>
              <w:rPr>
                <w:rFonts w:hint="eastAsia" w:ascii="黑体" w:hAnsi="黑体" w:eastAsia="黑体" w:cs="黑体"/>
                <w:b/>
                <w:sz w:val="22"/>
                <w:szCs w:val="22"/>
              </w:rPr>
            </w:pPr>
            <w:r>
              <w:rPr>
                <w:rFonts w:hint="eastAsia" w:ascii="黑体" w:hAnsi="黑体" w:eastAsia="黑体" w:cs="黑体"/>
                <w:sz w:val="22"/>
                <w:szCs w:val="22"/>
              </w:rPr>
              <w:t>本病须经相关专科医生明确诊断。继发于全身性疾病或其它器官系统疾病造成的心肌病变除外。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40 严重川崎病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是一种血管炎综合征，临床表现为急性发热，皮肤粘膜病损和淋巴结肿大。本病须经相关专科医生明确诊断，同时须由血管造影或超声心动图检查证实，满足下列至少一项条件：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伴有冠状动脉瘤，且冠状动脉瘤于最初急性发病后持续至少 180 天； </w:t>
            </w:r>
          </w:p>
          <w:p>
            <w:pPr>
              <w:widowControl/>
              <w:jc w:val="left"/>
              <w:rPr>
                <w:rFonts w:hint="eastAsia" w:ascii="黑体" w:hAnsi="黑体" w:eastAsia="黑体" w:cs="黑体"/>
                <w:b/>
                <w:sz w:val="22"/>
                <w:szCs w:val="22"/>
              </w:rPr>
            </w:pPr>
            <w:r>
              <w:rPr>
                <w:rFonts w:hint="eastAsia" w:ascii="黑体" w:hAnsi="黑体" w:eastAsia="黑体" w:cs="黑体"/>
                <w:sz w:val="22"/>
                <w:szCs w:val="22"/>
              </w:rPr>
              <w:t>2. 伴有冠状动脉瘤，且实际接受了对冠状动脉瘤进行的手术治疗。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41 严重冠状动脉 粥样硬化性心 脏病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指经冠状动脉造影检查明确诊断为主要血管严重狭窄性病变，须满足下列至少一项条件：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左冠状动脉主干和右冠状动脉中，一支血管管腔堵塞 75%以上，另一支血管管腔堵塞60%以上；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左前降支、左旋支和右冠状动脉中，至少一支血管管腔堵塞 75%以上，其他两支血管管腔堵塞60%以上。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左前降支的分支血管、左旋支的分支血管及右冠状动脉的分支血管的狭窄不作为本保障的衡量指标。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42 严重继发性肺 动脉高压</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继发性肺动脉压力持续增高，导致右心室肥厚，已经造成永久不可逆性的体力活动能力受 限，达到美国纽约心脏病学会心功能状态分级 IV 级。诊断需要由相关专科医生确诊，并且 心导管检查报告显示静息状态下肺动脉平均压超过 36mmHg（含）。 </w:t>
            </w:r>
          </w:p>
          <w:p>
            <w:pPr>
              <w:widowControl/>
              <w:jc w:val="left"/>
              <w:rPr>
                <w:rFonts w:hint="eastAsia" w:ascii="黑体" w:hAnsi="黑体" w:eastAsia="黑体" w:cs="黑体"/>
                <w:b/>
                <w:sz w:val="22"/>
                <w:szCs w:val="22"/>
              </w:rPr>
            </w:pPr>
            <w:r>
              <w:rPr>
                <w:rFonts w:hint="eastAsia" w:ascii="黑体" w:hAnsi="黑体" w:eastAsia="黑体" w:cs="黑体"/>
                <w:sz w:val="22"/>
                <w:szCs w:val="22"/>
              </w:rPr>
              <w:t>所有先天性心脏疾病直接或间接引起的肺动脉高压也不在保障范围内。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 xml:space="preserve">43 主动脉夹层瘤 </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指主动脉的内膜破裂导致血液流入主动脉壁中形成夹层动脉瘤。在本定义中，主动脉指胸 主动脉及腹主动脉而非其旁支。诊断必须由相关专科医生及检验结果证实，检验包括电脑 扫描，磁共振扫描及磁共振血管造影或心导管检查的证明，并有必要进行紧急修补手术。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44 嗜铬细胞瘤</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是指肾上腺或嗜铬外组织出现神经内分泌肿瘤，并分泌过多的儿茶酚胺类，需要确实进行 手术以切除肿瘤。嗜铬细胞瘤的诊断必须由相关专科医生确定。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45 严重肌营养不 良症</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指一组原发于肌肉的遗传性疾病，临床表现为与神经系统无关的肌肉无力和肌肉萎缩。须 满足下列全部条件： 1. 肌肉组织活检结果满足肌营养不良症的肌肉细胞变性、坏死等阳性改变； 2. 自主生活能力严重丧失，无法独立完成六项基本日常生活活动中的三项或三项以上。 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46 Ⅲ度房室传导 阻滞</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指心房激动在房室交界区、房室束及其分支内发生阻滞，不能正常地传到心室的心脏传导 性疾病，须满足下列所有条件：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心电图显示房室搏动彼此独立，心室率&lt;50 次/分钟；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出现阿-斯综合征或心力衰竭的表现； </w:t>
            </w:r>
          </w:p>
          <w:p>
            <w:pPr>
              <w:widowControl/>
              <w:jc w:val="left"/>
              <w:rPr>
                <w:rFonts w:hint="eastAsia" w:ascii="黑体" w:hAnsi="黑体" w:eastAsia="黑体" w:cs="黑体"/>
                <w:b/>
                <w:sz w:val="22"/>
                <w:szCs w:val="22"/>
              </w:rPr>
            </w:pPr>
            <w:r>
              <w:rPr>
                <w:rFonts w:hint="eastAsia" w:ascii="黑体" w:hAnsi="黑体" w:eastAsia="黑体" w:cs="黑体"/>
                <w:sz w:val="22"/>
                <w:szCs w:val="22"/>
              </w:rPr>
              <w:t>3. 必须持续性依赖心脏起搏器维持心脏正常功能，且已经放置心脏起搏器。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47 严重 I 型糖尿 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严重Ⅰ型糖尿病为由于胰岛素分泌绝对不足引起的慢性血糖升高，且已经持续性地依赖外 源性胰岛素维持 180 日以上。须经血胰岛素测定、血 C 肽测定或尿 C 肽测定，结果异常， 并由相关专科医生明确诊断。并须在本合同有效期内，满足下述至少一个条件：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已出现增殖性视网膜病变；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须植入心脏起搏器治疗心脏病； </w:t>
            </w:r>
          </w:p>
          <w:p>
            <w:pPr>
              <w:widowControl/>
              <w:jc w:val="left"/>
              <w:rPr>
                <w:rFonts w:hint="eastAsia" w:ascii="黑体" w:hAnsi="黑体" w:eastAsia="黑体" w:cs="黑体"/>
                <w:b/>
                <w:sz w:val="22"/>
                <w:szCs w:val="22"/>
              </w:rPr>
            </w:pPr>
            <w:r>
              <w:rPr>
                <w:rFonts w:hint="eastAsia" w:ascii="黑体" w:hAnsi="黑体" w:eastAsia="黑体" w:cs="黑体"/>
                <w:sz w:val="22"/>
                <w:szCs w:val="22"/>
              </w:rPr>
              <w:t>3. 在本公司认可医院内已经进行了医疗必须的由足踝或以上位置的单足截除手术。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48 克雅氏病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神经系统疾病及致命的成胶质状脑病，并有以下症状：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不能控制的肌肉痉挛及震颤；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逐渐痴呆；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小脑功能不良，共济失调； </w:t>
            </w:r>
          </w:p>
          <w:p>
            <w:pPr>
              <w:widowControl/>
              <w:jc w:val="left"/>
              <w:rPr>
                <w:rFonts w:hint="eastAsia" w:ascii="黑体" w:hAnsi="黑体" w:eastAsia="黑体" w:cs="黑体"/>
                <w:b/>
                <w:sz w:val="22"/>
                <w:szCs w:val="22"/>
              </w:rPr>
            </w:pPr>
            <w:r>
              <w:rPr>
                <w:rFonts w:hint="eastAsia" w:ascii="黑体" w:hAnsi="黑体" w:eastAsia="黑体" w:cs="黑体"/>
                <w:sz w:val="22"/>
                <w:szCs w:val="22"/>
              </w:rPr>
              <w:t>4. 手足徐动症。 诊断必须由相关专科医生基于以下检查报告作出：脑电图、脑脊液报告、电脑断层扫描 (CT)及核磁共振(MRI)。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49 多发性硬化</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被保险人因脑及脊髓内的脱髓鞘病变而出现神经系统多灶性（多发性）多时相（至少 6 个 月以内有一次以上（不包含一次）的发作）的病变，须由计算机断层扫描（CT）、核磁共 振检查（MRI）或正电子发射断层扫描（PET）等影像学检查证实，且已经造成自主生活 能力完全丧失，无法独立完成六项基本日常生活活动中的三项或三项以上，持续至少 180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50 全身性（型） 重症肌无力</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是指一种神经与肌肉接头部位传递障碍的自身免疫性疾病，临床特征是局部或全身横纹肌 于活动时易于疲劳无力，颅神经眼外肌最易累及，也可涉及呼吸肌、下肢近端肌群以至全 身肌肉，须经相关专科医生确诊。其诊断必须同时具有下列情况：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经药物、胸腺手术治疗一年以上无法控制病情，丧失正常工作能力；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出现眼睑下垂，或延髓肌受累引起的构音困难、进食呛咳,或由于肌无力累及延髓肌、呼 吸肌而致机体呼吸功能不正常的危急状态即肌无力危象； </w:t>
            </w:r>
          </w:p>
          <w:p>
            <w:pPr>
              <w:widowControl/>
              <w:jc w:val="left"/>
              <w:rPr>
                <w:rFonts w:hint="eastAsia" w:ascii="黑体" w:hAnsi="黑体" w:eastAsia="黑体" w:cs="黑体"/>
                <w:b/>
                <w:sz w:val="22"/>
                <w:szCs w:val="22"/>
              </w:rPr>
            </w:pPr>
            <w:r>
              <w:rPr>
                <w:rFonts w:hint="eastAsia" w:ascii="黑体" w:hAnsi="黑体" w:eastAsia="黑体" w:cs="黑体"/>
                <w:sz w:val="22"/>
                <w:szCs w:val="22"/>
              </w:rPr>
              <w:t>3. 症状缓解、复发及恶化交替出现，临床接受新斯的明等抗胆碱酯酶药物治疗的病史。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51 植物人状态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指脑皮质广泛性坏死而导致对自身及周边的认知能力完全丧失,但脑干功能依然存在。必须 由相关专科医生明确诊断,并有头颅断层扫描（CT），核磁共振检查（MRI）或正电子发 射断层扫描（PET）等影像学检查证实。 </w:t>
            </w:r>
          </w:p>
          <w:p>
            <w:pPr>
              <w:widowControl/>
              <w:jc w:val="left"/>
              <w:rPr>
                <w:rFonts w:hint="eastAsia" w:ascii="黑体" w:hAnsi="黑体" w:eastAsia="黑体" w:cs="黑体"/>
                <w:b/>
                <w:sz w:val="22"/>
                <w:szCs w:val="22"/>
              </w:rPr>
            </w:pPr>
            <w:r>
              <w:rPr>
                <w:rFonts w:hint="eastAsia" w:ascii="黑体" w:hAnsi="黑体" w:eastAsia="黑体" w:cs="黑体"/>
                <w:sz w:val="22"/>
                <w:szCs w:val="22"/>
              </w:rPr>
              <w:t>上述情况必须有至少一个月的病历记录加以证实。由于酗酒或滥用药物所致的植物人状态 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52 非阿尔茨海默 病所致严重痴呆</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指因阿尔茨海默病以外的脑的器质性疾病造成脑功能衰竭导致永久不可逆性的严重痴呆， 临床表现为明显的认知能力障碍、行为异常和社交能力减退。被保险人自主生活能力完全 丧失，无法独立完成六项基本日常生活活动中的三项或三项以上，日常生活必须持续受到 他人监护。导致痴呆的疾病必须明确诊断，并且由完整的临床、实验室和影像学检查结果 证实。神经官能症和精神疾病不在保障范围内。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53 进行性核上性 麻痹</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一种隐袭起病、逐渐加重的神经系统变性疾病。本疾病必须由相关专科医生确诊，并须满 足下列所有条件：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步态共济失调；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对称性眼球垂直运动障碍； </w:t>
            </w:r>
          </w:p>
          <w:p>
            <w:pPr>
              <w:widowControl/>
              <w:jc w:val="left"/>
              <w:rPr>
                <w:rFonts w:hint="eastAsia" w:ascii="黑体" w:hAnsi="黑体" w:eastAsia="黑体" w:cs="黑体"/>
                <w:sz w:val="22"/>
                <w:szCs w:val="22"/>
              </w:rPr>
            </w:pPr>
            <w:r>
              <w:rPr>
                <w:rFonts w:hint="eastAsia" w:ascii="黑体" w:hAnsi="黑体" w:eastAsia="黑体" w:cs="黑体"/>
                <w:sz w:val="22"/>
                <w:szCs w:val="22"/>
              </w:rPr>
              <w:t>3. 假性球麻痹，表现为构音障碍和吞咽困难。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54 进行性多灶性 白质脑病</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是一种亚急性脱髓鞘性脑病，常常发现于免疫缺陷的病人。必须由相关专科医生根据脑组 织活检确诊。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55 脊髓小脑变性 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脊髓小脑变性症为一组以小脑萎缩和共济失调为主要临床特点的疾病。必须符合所有以下 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脊髓小脑变性症必须由医院诊断，并有以下证据支持：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（1）影像学检查证实存在小脑萎缩；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（2）临床表现存在共济失调、语言障碍和肌张力异常。 </w:t>
            </w:r>
          </w:p>
          <w:p>
            <w:pPr>
              <w:widowControl/>
              <w:jc w:val="left"/>
              <w:rPr>
                <w:rFonts w:hint="eastAsia" w:ascii="黑体" w:hAnsi="黑体" w:eastAsia="黑体" w:cs="黑体"/>
                <w:b/>
                <w:sz w:val="22"/>
                <w:szCs w:val="22"/>
              </w:rPr>
            </w:pPr>
            <w:r>
              <w:rPr>
                <w:rFonts w:hint="eastAsia" w:ascii="黑体" w:hAnsi="黑体" w:eastAsia="黑体" w:cs="黑体"/>
                <w:sz w:val="22"/>
                <w:szCs w:val="22"/>
              </w:rPr>
              <w:t>2. 被保险人运动功能严重障碍，自主生活能力完全丧失，无法独立完成六项基本日常生活 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56 颅脑手术</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被保险人确已实施全麻下的开颅手术（不包括颅骨钻孔手术和经鼻蝶窦入颅手术）。 因外伤而实施的脑外科手术不在保障范围之内。 理赔时必须提供由相关专科医生出具的诊断书及手术报告。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57 脑型疟疾</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恶性疟原虫严重感染导致的脑病或脑型疟疾，以昏迷为主要特征。脑型疟疾的诊断须由相 关专科医生确认，且外周血涂片存在恶性疟原虫。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58 破裂脑动脉瘤 夹闭手术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指因脑动脉瘤破裂造成蛛网膜下腔出血，被保险人实际接受了在全麻下进行的开颅动脉夹 闭手术。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脑动脉瘤（未破裂）预防性手术、颅骨打孔手术、动脉瘤栓塞手术、血管内手术及其他颅 脑手术不在本保障范围内。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59 婴儿进行性脊 肌萎缩症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该病是累及脊髓前角细胞及延髓运动核的神经元退行性变性病。在出生后两年内出现的脊 髓和脑干颅神经前角细胞进行性机能障碍，伴随肌肉无力和延髓机能障碍。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60 细菌性脑脊髓 膜炎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指因脑膜炎双球菌感染引起脑脊髓膜化脓性病变，且导致永久性神经损害，持续 180 天以 上，并且脑脊液检查显示脑膜炎双球菌阳性。 </w:t>
            </w:r>
          </w:p>
          <w:p>
            <w:pPr>
              <w:widowControl/>
              <w:jc w:val="left"/>
              <w:rPr>
                <w:rFonts w:hint="eastAsia" w:ascii="黑体" w:hAnsi="黑体" w:eastAsia="黑体" w:cs="黑体"/>
                <w:b/>
                <w:sz w:val="22"/>
                <w:szCs w:val="22"/>
              </w:rPr>
            </w:pPr>
            <w:r>
              <w:rPr>
                <w:rFonts w:hint="eastAsia" w:ascii="黑体" w:hAnsi="黑体" w:eastAsia="黑体" w:cs="黑体"/>
                <w:sz w:val="22"/>
                <w:szCs w:val="22"/>
              </w:rPr>
              <w:t>永久性神经损害是指由细菌性脑脊髓膜炎引起的耳聋、失明、动眼神经麻痹、瘫痪、脑积 水、智力或性情中度以上的损害，且上述症状持续 180 天以上仍无改善迹象。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61 脊柱裂</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指脊椎或颅骨不完全闭合，导致脊髓脊膜突出，脑（脊）膜突出或脑膨出，合并大小便失 禁，部分或完全性下肢瘫痪或畸形等神经学上的异常，但不包括由 X 线摄片发现的没有合 并脊椎脊膜突出或脑（脊）膜突出的隐形脊椎裂。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62 严重结核性脑 膜炎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由结核杆菌引起的脑膜和脊膜的非化脓性炎症性疾病。需满足以下全部条件：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出现颅内压明显增高，表现头痛、呕吐和视乳头水肿；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出现部分性、全身性癫痫发作或癫痫持续状态；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昏睡或意识模糊； </w:t>
            </w:r>
          </w:p>
          <w:p>
            <w:pPr>
              <w:widowControl/>
              <w:jc w:val="left"/>
              <w:rPr>
                <w:rFonts w:hint="eastAsia" w:ascii="黑体" w:hAnsi="黑体" w:eastAsia="黑体" w:cs="黑体"/>
                <w:b/>
                <w:sz w:val="22"/>
                <w:szCs w:val="22"/>
              </w:rPr>
            </w:pPr>
            <w:r>
              <w:rPr>
                <w:rFonts w:hint="eastAsia" w:ascii="黑体" w:hAnsi="黑体" w:eastAsia="黑体" w:cs="黑体"/>
                <w:sz w:val="22"/>
                <w:szCs w:val="22"/>
              </w:rPr>
              <w:t>4. 视力减退、复视和面神经麻痹。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63 亚历山大病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是一种遗传性中枢神经系统退行性病变，特点为脑白质营养不良。临床表现为惊厥发作、 智力下降、球麻痹、共济失调、痉挛性瘫痪。亚历山大病必须被相关专科医生明确诊断， 并且造成永久性神经系统功能损害。被保险人自主生活能力完全丧失，无法独立完成六项 基本日常生活活动中的三项或三项以上，日常生活必须持续接受他人护理。未诊断的疑似 病例不在保障范围之内。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64 库鲁病</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指一种亚急性传染性朊蛋白病。临床表现为共济失调、震颤、不自主运动，在病程晚期出 现进行性加重的痴呆，神经异常。该病必须由权威医疗机构根据致病蛋白的发现而明确诊 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65 疾病或外伤所 致智力障碍— </w:t>
            </w:r>
          </w:p>
          <w:p>
            <w:pPr>
              <w:widowControl/>
              <w:jc w:val="left"/>
              <w:rPr>
                <w:rFonts w:hint="eastAsia" w:ascii="黑体" w:hAnsi="黑体" w:eastAsia="黑体" w:cs="黑体"/>
                <w:b/>
                <w:sz w:val="22"/>
                <w:szCs w:val="22"/>
              </w:rPr>
            </w:pPr>
            <w:r>
              <w:rPr>
                <w:rFonts w:hint="eastAsia" w:ascii="黑体" w:hAnsi="黑体" w:eastAsia="黑体" w:cs="黑体"/>
                <w:sz w:val="22"/>
                <w:szCs w:val="22"/>
              </w:rPr>
              <w:t>6 周岁始理赔</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因严重头部创伤或疾病造成被保险人智力低常（智力低于常态）。根据智商（IQ），智力 低常分为中度（IQ35-50）、重度（IQ20-35）和极重度（IQ&lt;20）。智商的检测必须由我们 认可的专职心理测验工作者进行，心理测验工作者必须持有心理测量专业委员会资格认定 书。根据被保险人年龄采用对应的智力量表如韦克斯勒智力量表（儿童智力量表或成人智 力量表）。必须满足下列全部条件：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造成被保险人智力低常（智力低于常态）的严重头部创伤或疾病（以入院日期为准）发 生在被保险人 6 周岁以后；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专科医师确诊被保险人由于严重头部创伤或疾病造成智力低常；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专职合格心理检测工作者适时做的心理检测证实被保险人智力低常（中度、重度或极重 度）； </w:t>
            </w:r>
          </w:p>
          <w:p>
            <w:pPr>
              <w:widowControl/>
              <w:jc w:val="left"/>
              <w:rPr>
                <w:rFonts w:hint="eastAsia" w:ascii="黑体" w:hAnsi="黑体" w:eastAsia="黑体" w:cs="黑体"/>
                <w:b/>
                <w:sz w:val="22"/>
                <w:szCs w:val="22"/>
              </w:rPr>
            </w:pPr>
            <w:r>
              <w:rPr>
                <w:rFonts w:hint="eastAsia" w:ascii="黑体" w:hAnsi="黑体" w:eastAsia="黑体" w:cs="黑体"/>
                <w:sz w:val="22"/>
                <w:szCs w:val="22"/>
              </w:rPr>
              <w:t>4. 被保险人的智力低常自确认日起持续 180 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66 瑞氏综合征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瑞氏综合征是线粒体功能障碍性疾病。导致脂肪代谢障碍，引起短链脂肪酸、血氨升高， 造成脑水肿。主要临床表现为急性发热、反复呕吐、惊厥及意识障碍等。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肝脏活检是确诊的重要手段。瑞氏综合征需由相关专科医生确诊，并符合下列所有条件：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有脑水肿和颅内压升高的脑脊液检查和影像学检查证据；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血氨超过正常值的 3 倍； </w:t>
            </w:r>
          </w:p>
          <w:p>
            <w:pPr>
              <w:widowControl/>
              <w:jc w:val="left"/>
              <w:rPr>
                <w:rFonts w:hint="eastAsia" w:ascii="黑体" w:hAnsi="黑体" w:eastAsia="黑体" w:cs="黑体"/>
                <w:b/>
                <w:sz w:val="22"/>
                <w:szCs w:val="22"/>
              </w:rPr>
            </w:pPr>
            <w:r>
              <w:rPr>
                <w:rFonts w:hint="eastAsia" w:ascii="黑体" w:hAnsi="黑体" w:eastAsia="黑体" w:cs="黑体"/>
                <w:sz w:val="22"/>
                <w:szCs w:val="22"/>
              </w:rPr>
              <w:t>3. 临床出现昏迷，病程至少达到疾病分期第 3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67 重症手足口病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由肠道病毒引起的急性传染病，主要症状表现为手、足、口腔等部位的斑丘疹、疱疹。经 相关专科医生确诊为患有手足口病，并伴有下列三项中的任意一项并发症：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有脑膜炎或脑炎并发症，且导致意识障碍或瘫痪的临床表现及实验室检查证据；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有肺炎或肺水肿并发症，且导致呼吸衰竭的临床表现及实验室检查证据； </w:t>
            </w:r>
          </w:p>
          <w:p>
            <w:pPr>
              <w:widowControl/>
              <w:jc w:val="left"/>
              <w:rPr>
                <w:rFonts w:hint="eastAsia" w:ascii="黑体" w:hAnsi="黑体" w:eastAsia="黑体" w:cs="黑体"/>
                <w:b/>
                <w:sz w:val="22"/>
                <w:szCs w:val="22"/>
              </w:rPr>
            </w:pPr>
            <w:r>
              <w:rPr>
                <w:rFonts w:hint="eastAsia" w:ascii="黑体" w:hAnsi="黑体" w:eastAsia="黑体" w:cs="黑体"/>
                <w:sz w:val="22"/>
                <w:szCs w:val="22"/>
              </w:rPr>
              <w:t>3. 有心肌炎并发症，且导致心脏扩大或心力衰竭的临床表现及实验室检查证据。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68 神经白塞病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神经白塞病是一种慢性全身性血管炎症性疾病，主要表现为复发性口腔溃疡、生殖器溃 疡、眼炎及皮肤损害，并可累及大血管、神经系统、消化道、肺、肾等。累及神经系统损 害的白塞病称为神经白塞病。神经白塞病必须明确诊断，并且已经造成永久不可逆的神经 系统损害。永久不可逆的神经系统损害指被保险人持续 180 天无法独立完成下列基本日常 生活活动：</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移动：自己从一个房间到另一个房间； </w:t>
            </w:r>
          </w:p>
          <w:p>
            <w:pPr>
              <w:widowControl/>
              <w:jc w:val="left"/>
              <w:rPr>
                <w:rFonts w:hint="eastAsia" w:ascii="黑体" w:hAnsi="黑体" w:eastAsia="黑体" w:cs="黑体"/>
                <w:b/>
                <w:sz w:val="22"/>
                <w:szCs w:val="22"/>
              </w:rPr>
            </w:pPr>
            <w:r>
              <w:rPr>
                <w:rFonts w:hint="eastAsia" w:ascii="黑体" w:hAnsi="黑体" w:eastAsia="黑体" w:cs="黑体"/>
                <w:sz w:val="22"/>
                <w:szCs w:val="22"/>
              </w:rPr>
              <w:t>2. 进食：自己从已准备好的碗或碟中取食物放入口中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69 系统性红斑狼 疮－（并发） Ⅲ型或以上狼 疮性肾炎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系统性红斑狼疮是由多种因素引起，累及多系统的自身免疫性疾病。其特点是生成自身抗 体对抗多种自身抗原。多见于育龄妇女。 </w:t>
            </w:r>
          </w:p>
          <w:p>
            <w:pPr>
              <w:widowControl/>
              <w:jc w:val="left"/>
              <w:rPr>
                <w:rFonts w:hint="eastAsia" w:ascii="黑体" w:hAnsi="黑体" w:eastAsia="黑体" w:cs="黑体"/>
                <w:sz w:val="22"/>
                <w:szCs w:val="22"/>
              </w:rPr>
            </w:pPr>
            <w:r>
              <w:rPr>
                <w:rFonts w:hint="eastAsia" w:ascii="黑体" w:hAnsi="黑体" w:eastAsia="黑体" w:cs="黑体"/>
                <w:sz w:val="22"/>
                <w:szCs w:val="22"/>
              </w:rPr>
              <w:t>本合同所指的系统性红斑狼疮仅限于累及肾脏（经肾脏活检确认的，符合 WHO 诊断标准 定义Ⅲ型至 V 型狼疮性肾炎）的系统性红斑狼疮。其他类型的红斑性狼疮，如盘状狼疮、 仅累及血液及关节的狼疮不在保障范围内。本病必须由相关专科医生确诊。</w:t>
            </w:r>
          </w:p>
          <w:p>
            <w:pPr>
              <w:widowControl/>
              <w:jc w:val="left"/>
              <w:rPr>
                <w:rFonts w:hint="eastAsia" w:ascii="黑体" w:hAnsi="黑体" w:eastAsia="黑体" w:cs="黑体"/>
                <w:sz w:val="22"/>
                <w:szCs w:val="22"/>
              </w:rPr>
            </w:pPr>
            <w:r>
              <w:rPr>
                <w:rFonts w:hint="eastAsia" w:ascii="黑体" w:hAnsi="黑体" w:eastAsia="黑体" w:cs="黑体"/>
                <w:sz w:val="22"/>
                <w:szCs w:val="22"/>
              </w:rPr>
              <w:t>世界卫生组织（WHO）狼疮性肾炎分型：</w:t>
            </w:r>
          </w:p>
          <w:tbl>
            <w:tblPr>
              <w:tblStyle w:val="225"/>
              <w:tblW w:w="7545" w:type="dxa"/>
              <w:tblInd w:w="5" w:type="dxa"/>
              <w:tblLayout w:type="fixed"/>
              <w:tblCellMar>
                <w:top w:w="34" w:type="dxa"/>
                <w:left w:w="5" w:type="dxa"/>
                <w:bottom w:w="0" w:type="dxa"/>
                <w:right w:w="115" w:type="dxa"/>
              </w:tblCellMar>
            </w:tblPr>
            <w:tblGrid>
              <w:gridCol w:w="2837"/>
              <w:gridCol w:w="4708"/>
            </w:tblGrid>
            <w:tr>
              <w:tblPrEx>
                <w:tblCellMar>
                  <w:top w:w="34" w:type="dxa"/>
                  <w:left w:w="5" w:type="dxa"/>
                  <w:bottom w:w="0" w:type="dxa"/>
                  <w:right w:w="115" w:type="dxa"/>
                </w:tblCellMar>
              </w:tblPrEx>
              <w:trPr>
                <w:trHeight w:val="322"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Ⅰ型（微小病变型）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镜下阴性，尿液正常 </w:t>
                  </w:r>
                </w:p>
              </w:tc>
            </w:tr>
            <w:tr>
              <w:tblPrEx>
                <w:tblCellMar>
                  <w:top w:w="34" w:type="dxa"/>
                  <w:left w:w="5" w:type="dxa"/>
                  <w:bottom w:w="0" w:type="dxa"/>
                  <w:right w:w="115" w:type="dxa"/>
                </w:tblCellMar>
              </w:tblPrEx>
              <w:trPr>
                <w:trHeight w:val="334"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Ⅱ型（系膜病变型）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中度蛋白尿，偶有尿沉渣改变 </w:t>
                  </w:r>
                </w:p>
              </w:tc>
            </w:tr>
            <w:tr>
              <w:trPr>
                <w:trHeight w:val="324"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Ⅲ型（局灶及节段增生型）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蛋白尿，尿沉渣改变 </w:t>
                  </w:r>
                </w:p>
              </w:tc>
            </w:tr>
            <w:tr>
              <w:tblPrEx>
                <w:tblCellMar>
                  <w:top w:w="34" w:type="dxa"/>
                  <w:left w:w="5" w:type="dxa"/>
                  <w:bottom w:w="0" w:type="dxa"/>
                  <w:right w:w="115" w:type="dxa"/>
                </w:tblCellMar>
              </w:tblPrEx>
              <w:trPr>
                <w:trHeight w:val="334"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Ⅳ型（弥漫增生型）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急性肾炎伴有尿沉渣改变及/或肾病综合征 </w:t>
                  </w:r>
                </w:p>
              </w:tc>
            </w:tr>
            <w:tr>
              <w:trPr>
                <w:trHeight w:val="334"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Ⅴ型（膜型）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肾病综合征或重度蛋白尿 </w:t>
                  </w:r>
                </w:p>
              </w:tc>
            </w:tr>
          </w:tbl>
          <w:p>
            <w:pPr>
              <w:widowControl/>
              <w:jc w:val="left"/>
              <w:rPr>
                <w:rFonts w:hint="eastAsia" w:ascii="黑体" w:hAnsi="黑体" w:eastAsia="黑体" w:cs="黑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70 肾髓质囊性病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肾髓质囊性病的诊断须同时符合下列要求：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肾髓质有囊肿、肾小管萎缩及间质纤维化等病理改变；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肾功能衰竭；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诊断须由肾组织活检确定。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71 特发性慢性肾 上腺皮质功能 减退</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因为自身免疫功能紊乱，使肾上腺组织逐渐受损，而需要长期接受糖皮质激素及肾上腺皮 质激素替代疗法。该病必须经相关专科医生确诊，并有以下报告作为证据：</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促肾上腺皮质激素(ACTH)刺激试验；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胰岛素血糖减少测试；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血浆促肾上腺皮质激素(ACTH)水平测定； 4. 血浆肾素活性(PRA)测定。 </w:t>
            </w:r>
          </w:p>
          <w:p>
            <w:pPr>
              <w:widowControl/>
              <w:jc w:val="left"/>
              <w:rPr>
                <w:rFonts w:hint="eastAsia" w:ascii="黑体" w:hAnsi="黑体" w:eastAsia="黑体" w:cs="黑体"/>
                <w:b/>
                <w:sz w:val="22"/>
                <w:szCs w:val="22"/>
              </w:rPr>
            </w:pPr>
            <w:r>
              <w:rPr>
                <w:rFonts w:hint="eastAsia" w:ascii="黑体" w:hAnsi="黑体" w:eastAsia="黑体" w:cs="黑体"/>
                <w:sz w:val="22"/>
                <w:szCs w:val="22"/>
              </w:rPr>
              <w:t>慢性肾上腺皮质功能衰竭只对由自身免疫功能紊乱引起的承担保险责任，其他原因引起的 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72 系统性硬皮病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指一种全身性的胶原血管性疾病，可以导致皮肤、血管及内脏器官进行性弥漫性纤维化。 诊断必须经活检及血清学检查证实，疾病必须是全身性，且须满足下列至少一项条件：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肺脏：肺部病变进而发展为肺间质纤维化和肺动脉高压；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心脏：心功能受损达到美国纽约心脏病学会心功能状态分级 IV 级；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肾脏：肾脏受损导致双肾功能慢性不可逆衰竭，达到尿毒症期。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以下情况不在保障范围内：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局限性硬皮病（带状硬皮病或斑状损害）；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嗜酸性筋膜炎； </w:t>
            </w:r>
          </w:p>
          <w:p>
            <w:pPr>
              <w:widowControl/>
              <w:jc w:val="left"/>
              <w:rPr>
                <w:rFonts w:hint="eastAsia" w:ascii="黑体" w:hAnsi="黑体" w:eastAsia="黑体" w:cs="黑体"/>
                <w:b/>
                <w:sz w:val="22"/>
                <w:szCs w:val="22"/>
              </w:rPr>
            </w:pPr>
            <w:r>
              <w:rPr>
                <w:rFonts w:hint="eastAsia" w:ascii="黑体" w:hAnsi="黑体" w:eastAsia="黑体" w:cs="黑体"/>
                <w:sz w:val="22"/>
                <w:szCs w:val="22"/>
              </w:rPr>
              <w:t>3. CREST 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73 原发性硬化性 胆管炎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指一种胆汁淤积综合征，其特征是肝内、肝外胆道因纤维化性炎症逐渐狭窄，并最终导致 完全阻塞而发展为肝硬化。本病须经内镜逆行胰胆管造影等影像学检查证实，并须满足下 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总胆红素和直接胆红素同时升高，血清 ALP&gt;200U/L；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持续性黄疸病史；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出现胆汁性肝硬化或门脉高压。 </w:t>
            </w:r>
          </w:p>
          <w:p>
            <w:pPr>
              <w:widowControl/>
              <w:jc w:val="left"/>
              <w:rPr>
                <w:rFonts w:hint="eastAsia" w:ascii="黑体" w:hAnsi="黑体" w:eastAsia="黑体" w:cs="黑体"/>
                <w:b/>
                <w:sz w:val="22"/>
                <w:szCs w:val="22"/>
              </w:rPr>
            </w:pPr>
            <w:r>
              <w:rPr>
                <w:rFonts w:hint="eastAsia" w:ascii="黑体" w:hAnsi="黑体" w:eastAsia="黑体" w:cs="黑体"/>
                <w:sz w:val="22"/>
                <w:szCs w:val="22"/>
              </w:rPr>
              <w:t>因肿瘤或胆管损伤等继发性的硬化性胆管炎不在保障范围内。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74 严重肠道疾病 并发症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严重肠道疾病或外伤导致小肠损害并发症，本疾病须满足以下所有条件：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至少切除了三分之二小肠； </w:t>
            </w:r>
          </w:p>
          <w:p>
            <w:pPr>
              <w:widowControl/>
              <w:jc w:val="left"/>
              <w:rPr>
                <w:rFonts w:hint="eastAsia" w:ascii="黑体" w:hAnsi="黑体" w:eastAsia="黑体" w:cs="黑体"/>
                <w:b/>
                <w:sz w:val="22"/>
                <w:szCs w:val="22"/>
              </w:rPr>
            </w:pPr>
            <w:r>
              <w:rPr>
                <w:rFonts w:hint="eastAsia" w:ascii="黑体" w:hAnsi="黑体" w:eastAsia="黑体" w:cs="黑体"/>
                <w:sz w:val="22"/>
                <w:szCs w:val="22"/>
              </w:rPr>
              <w:t>2. 完全肠外营养支持三个月以上。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75 范可尼综合征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指近端肾小管的功能异常引起的一组症候群。须满足下列至少两个条件：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尿液检查出现肾性糖尿、全氨基酸糖尿或磷酸盐尿；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血液检查出现低磷血症、低尿酸血症或近端肾小管酸中毒；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出现骨质疏松、骨骼畸形或尿路结石； </w:t>
            </w:r>
          </w:p>
          <w:p>
            <w:pPr>
              <w:widowControl/>
              <w:jc w:val="left"/>
              <w:rPr>
                <w:rFonts w:hint="eastAsia" w:ascii="黑体" w:hAnsi="黑体" w:eastAsia="黑体" w:cs="黑体"/>
                <w:b/>
                <w:sz w:val="22"/>
                <w:szCs w:val="22"/>
              </w:rPr>
            </w:pPr>
            <w:r>
              <w:rPr>
                <w:rFonts w:hint="eastAsia" w:ascii="黑体" w:hAnsi="黑体" w:eastAsia="黑体" w:cs="黑体"/>
                <w:sz w:val="22"/>
                <w:szCs w:val="22"/>
              </w:rPr>
              <w:t>4. 通过骨髓片、白细胞、直肠黏膜中的结晶分析或裂隙灯检查角膜有胱氨酸结晶。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76 肝豆状核变性</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肝豆状核变性是一种可能危及生命的铜代谢疾病，以铜沉积造成的渐进性肝功能损害及/或 神经功能恶化为特征。必须由相关专科医生通过肝脏活组织检查结果确定诊断并配合螯合 剂治疗持续至少 6 个月。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77 弥漫性血管内 凝血</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指血液凝固系统和纤溶系统的过度活动导致微血管血栓形成、血小板及凝血因子耗竭和严 重出血，需要输注血浆和浓缩血小板进行治疗。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78 严重哮喘—— 25 周岁前理 赔</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指一种反复发作的严重支气管阻塞性疾病，经相关专科医生确诊，且必须同时符合下列标 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过去两年中曾因哮喘持续状态住院治疗，并提供完整住院记录；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因慢性过度换气导致胸廓畸形；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在家中需要医生处方的氧气治疗法； </w:t>
            </w:r>
          </w:p>
          <w:p>
            <w:pPr>
              <w:widowControl/>
              <w:jc w:val="left"/>
              <w:rPr>
                <w:rFonts w:hint="eastAsia" w:ascii="黑体" w:hAnsi="黑体" w:eastAsia="黑体" w:cs="黑体"/>
                <w:b/>
                <w:sz w:val="22"/>
                <w:szCs w:val="22"/>
              </w:rPr>
            </w:pPr>
            <w:r>
              <w:rPr>
                <w:rFonts w:hint="eastAsia" w:ascii="黑体" w:hAnsi="黑体" w:eastAsia="黑体" w:cs="黑体"/>
                <w:sz w:val="22"/>
                <w:szCs w:val="22"/>
              </w:rPr>
              <w:t>4. 持续日常服用口服类固醇激素治疗持续至少六个月。 被保险人申请理赔时年龄必须在年满 25 周岁之前。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79 败血症导致的 多器官功能障 碍综合症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多器官功能障碍指败血症导致的并发症，一个或多个器官系统生理功能障碍（MODS）， 因该疾病住院至少 96 小时，并至少满足以下一条标准：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呼吸衰竭，需要进行气管插管机械通气； </w:t>
            </w:r>
          </w:p>
          <w:p>
            <w:pPr>
              <w:widowControl/>
              <w:jc w:val="left"/>
              <w:rPr>
                <w:rFonts w:hint="eastAsia" w:ascii="黑体" w:hAnsi="黑体" w:eastAsia="黑体" w:cs="黑体"/>
                <w:sz w:val="22"/>
                <w:szCs w:val="22"/>
              </w:rPr>
            </w:pPr>
            <w:r>
              <w:rPr>
                <w:rFonts w:hint="eastAsia" w:ascii="黑体" w:hAnsi="黑体" w:eastAsia="黑体" w:cs="黑体"/>
                <w:sz w:val="22"/>
                <w:szCs w:val="22"/>
              </w:rPr>
              <w:t>2. 凝血血小板计数&lt;50*10³/微升；</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 3. 肝功能不全，胆红素&gt;6mg/dl 或&gt;102µmol/L；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需要用强心剂；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 昏迷格拉斯哥昏迷评分（GCS）&lt;=9；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6. 肾功能衰竭，血清肌酐&gt;300μmol/L 或&gt;3.5mg/dl 或尿量&lt;500ml/d；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7. 败血症有血液和影像学检查证实；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8. 住院重症监护病房最低 96 小时；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9. 器官功能障碍维持至少 15 天。 </w:t>
            </w:r>
          </w:p>
          <w:p>
            <w:pPr>
              <w:widowControl/>
              <w:jc w:val="left"/>
              <w:rPr>
                <w:rFonts w:hint="eastAsia" w:ascii="黑体" w:hAnsi="黑体" w:eastAsia="黑体" w:cs="黑体"/>
                <w:b/>
                <w:sz w:val="22"/>
                <w:szCs w:val="22"/>
              </w:rPr>
            </w:pPr>
            <w:r>
              <w:rPr>
                <w:rFonts w:hint="eastAsia" w:ascii="黑体" w:hAnsi="黑体" w:eastAsia="黑体" w:cs="黑体"/>
                <w:sz w:val="22"/>
                <w:szCs w:val="22"/>
              </w:rPr>
              <w:t>败血症引起的 MODS 的诊断应由相关专科医生证实。非败血症引起的 MODS 不在保障范围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80 严重获得性或 继发性肺泡蛋 白质沉积症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因获得性或继发性原因导致双肺肺泡和细支气管腔内充满不可溶性富磷脂蛋白的疾病。理 赔时须满足下列所有条件：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支气管镜活检或开胸肺活检病理检查证实肺泡内充满有过碘酸雪夫（PAS）染色阳性的 蛋白样物质； </w:t>
            </w:r>
          </w:p>
          <w:p>
            <w:pPr>
              <w:widowControl/>
              <w:jc w:val="left"/>
              <w:rPr>
                <w:rFonts w:hint="eastAsia" w:ascii="黑体" w:hAnsi="黑体" w:eastAsia="黑体" w:cs="黑体"/>
                <w:b/>
                <w:sz w:val="22"/>
                <w:szCs w:val="22"/>
              </w:rPr>
            </w:pPr>
            <w:r>
              <w:rPr>
                <w:rFonts w:hint="eastAsia" w:ascii="黑体" w:hAnsi="黑体" w:eastAsia="黑体" w:cs="黑体"/>
                <w:sz w:val="22"/>
                <w:szCs w:val="22"/>
              </w:rPr>
              <w:t>2. 被保险人因中重度呼吸困难或低氧血症而实际已行全身麻醉下的全肺灌洗治疗。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81 肺淋巴管肌瘤 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肺淋巴管肌瘤病是一种弥漫性肺部疾病，主要病理改变为肺间质、支气管、血管和淋巴管 内出现未成熟的平滑肌异常增生，同时需满足下列全部条件：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经组织病理学诊断；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CT 显示双肺弥漫性囊性改变； </w:t>
            </w:r>
          </w:p>
          <w:p>
            <w:pPr>
              <w:widowControl/>
              <w:jc w:val="left"/>
              <w:rPr>
                <w:rFonts w:hint="eastAsia" w:ascii="黑体" w:hAnsi="黑体" w:eastAsia="黑体" w:cs="黑体"/>
                <w:b/>
                <w:sz w:val="22"/>
                <w:szCs w:val="22"/>
              </w:rPr>
            </w:pPr>
            <w:r>
              <w:rPr>
                <w:rFonts w:hint="eastAsia" w:ascii="黑体" w:hAnsi="黑体" w:eastAsia="黑体" w:cs="黑体"/>
                <w:sz w:val="22"/>
                <w:szCs w:val="22"/>
              </w:rPr>
              <w:t>3. 休息时出现呼吸困难并经相关专科医生认可有必要进行肺移植手术。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82 胰腺移植</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指胰腺功能衰竭，已经实施了在全身麻醉下进行的胰腺的异体器官移植手术。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单纯胰岛移植、部分胰腺组织或细胞的移植不在本保障范围内。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83 急性坏死性胰 腺炎开腹手术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指被保险人因为急性出血坏死性胰腺炎已经接受了外科开腹手术治疗，以进行坏死组织清 除、坏死病灶切除或胰腺切除。 </w:t>
            </w:r>
          </w:p>
          <w:p>
            <w:pPr>
              <w:widowControl/>
              <w:jc w:val="left"/>
              <w:rPr>
                <w:rFonts w:hint="eastAsia" w:ascii="黑体" w:hAnsi="黑体" w:eastAsia="黑体" w:cs="黑体"/>
                <w:b/>
                <w:sz w:val="22"/>
                <w:szCs w:val="22"/>
              </w:rPr>
            </w:pPr>
            <w:r>
              <w:rPr>
                <w:rFonts w:hint="eastAsia" w:ascii="黑体" w:hAnsi="黑体" w:eastAsia="黑体" w:cs="黑体"/>
                <w:sz w:val="22"/>
                <w:szCs w:val="22"/>
              </w:rPr>
              <w:t>因饮酒所致的急性出血坏死性胰腺炎或经腹腔镜手术进行的治疗不在保障范围内。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84 慢性复发性胰 腺炎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胰腺炎反复发作超过三次以上并导致胰腺功能紊乱和营养不良，需要接受酶替代治疗。诊 断必须有相关专科医生确认并且有内窥镜逆行胰胆管造影所证实。 </w:t>
            </w:r>
          </w:p>
          <w:p>
            <w:pPr>
              <w:widowControl/>
              <w:jc w:val="left"/>
              <w:rPr>
                <w:rFonts w:hint="eastAsia" w:ascii="黑体" w:hAnsi="黑体" w:eastAsia="黑体" w:cs="黑体"/>
                <w:b/>
                <w:sz w:val="22"/>
                <w:szCs w:val="22"/>
              </w:rPr>
            </w:pPr>
            <w:r>
              <w:rPr>
                <w:rFonts w:hint="eastAsia" w:ascii="黑体" w:hAnsi="黑体" w:eastAsia="黑体" w:cs="黑体"/>
                <w:sz w:val="22"/>
                <w:szCs w:val="22"/>
              </w:rPr>
              <w:t>因酒精所致的慢性复发性胰腺炎除外。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85 严重自身免疫 性肝炎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自身免疫性肝炎是一种原因不明的慢性肝脏的坏死性炎性疾病，机体免疫机制被破坏，产 生针对肝脏自身抗原的抗体导致自身免疫反应，从而破坏肝细胞造成肝脏炎症坏死，进而 发展为肝硬化。必须满足所有以下条件：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高γ球蛋白血症；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血液中存在高水平的自身免疫抗体，如 ANA（抗核抗体）、SMA（抗平滑肌抗体）、抗 LKM1 抗体或抗-SLA/LP 抗体；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肝脏活检证实免疫性肝炎； </w:t>
            </w:r>
          </w:p>
          <w:p>
            <w:pPr>
              <w:widowControl/>
              <w:jc w:val="left"/>
              <w:rPr>
                <w:rFonts w:hint="eastAsia" w:ascii="黑体" w:hAnsi="黑体" w:eastAsia="黑体" w:cs="黑体"/>
                <w:b/>
                <w:sz w:val="22"/>
                <w:szCs w:val="22"/>
              </w:rPr>
            </w:pPr>
            <w:r>
              <w:rPr>
                <w:rFonts w:hint="eastAsia" w:ascii="黑体" w:hAnsi="黑体" w:eastAsia="黑体" w:cs="黑体"/>
                <w:sz w:val="22"/>
                <w:szCs w:val="22"/>
              </w:rPr>
              <w:t>4. 临床已经出现腹水、食道静脉曲张和脾肿大等肝硬化表现。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86 胆道重建手术</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指因胆道创伤导致接受涉及胆总管小肠吻合术的胆道重建手术。手术必须在相关专科医生 认为是医疗所需的情况下进行。胆道闭锁并不在保障范围内。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87 席汉氏综合征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指因产后大出血并发休克、全身循环衰竭、弥漫性血管内凝血导致脑垂体缺血坏死和垂体 分泌激素不足，造成性腺、甲状腺、肾上腺皮质功能减退。必须满足下列所有条件： 1. 产后大出血休克病史；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严重腺垂体功能破坏，破坏程度&gt;95%；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影像学检查显示脑垂体严重萎缩或消失；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实验室检查显示：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（1）垂体前叶激素全面低下（包括生长激素、促甲状腺素、促肾上腺皮质激素、卵泡刺激 素和黄体生成素）；和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（2）性激素、甲状腺素、肾上腺皮质激素全面低下； </w:t>
            </w:r>
          </w:p>
          <w:p>
            <w:pPr>
              <w:widowControl/>
              <w:jc w:val="left"/>
              <w:rPr>
                <w:rFonts w:hint="eastAsia" w:ascii="黑体" w:hAnsi="黑体" w:eastAsia="黑体" w:cs="黑体"/>
                <w:b/>
                <w:sz w:val="22"/>
                <w:szCs w:val="22"/>
              </w:rPr>
            </w:pPr>
            <w:r>
              <w:rPr>
                <w:rFonts w:hint="eastAsia" w:ascii="黑体" w:hAnsi="黑体" w:eastAsia="黑体" w:cs="黑体"/>
                <w:sz w:val="22"/>
                <w:szCs w:val="22"/>
              </w:rPr>
              <w:t>5. 需要终身激素替代治疗以维持身体功能，持续服用各种替代激素超过一年。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88 严重类风湿性 关节炎</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类风湿性关节炎为广泛分布的慢性进行性多关节病变，表现为关节严重变形，侵犯至少三 个主要关节或关节组（如：双手（多手指）关节、双足（多足趾）关节、双腕关节、双膝 关节和双髋关节）。类风湿性关节炎必须明确诊断并且已经达到类风湿性关节炎功能分级 Ⅲ级以上的功能障碍（关节活动严重限制，不能完成大部分的日常工作和活动）并且自主 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89 重症急性坏死 性筋膜炎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坏死性筋膜炎的诊断须同时符合下列要求：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符合坏死性筋膜炎的一般临床表现；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细菌培养检出致病菌；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出现广泛性肌肉及软组织坏死，并导致身体受影响部位永久完全失去功能。 </w:t>
            </w:r>
          </w:p>
          <w:p>
            <w:pPr>
              <w:widowControl/>
              <w:jc w:val="left"/>
              <w:rPr>
                <w:rFonts w:hint="eastAsia" w:ascii="黑体" w:hAnsi="黑体" w:eastAsia="黑体" w:cs="黑体"/>
                <w:b/>
                <w:sz w:val="22"/>
                <w:szCs w:val="22"/>
              </w:rPr>
            </w:pPr>
            <w:r>
              <w:rPr>
                <w:rFonts w:hint="eastAsia" w:ascii="黑体" w:hAnsi="黑体" w:eastAsia="黑体" w:cs="黑体"/>
                <w:sz w:val="22"/>
                <w:szCs w:val="22"/>
              </w:rPr>
              <w:t>所谓永久完全失去功能是指受影响部位的全部功能完全丧失超过 180 天者。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90 失去一肢及一 眼</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因疾病或受伤导致以下两项情形同时不可复原及永久性完全丧失：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一眼视力； </w:t>
            </w:r>
          </w:p>
          <w:p>
            <w:pPr>
              <w:widowControl/>
              <w:jc w:val="left"/>
              <w:rPr>
                <w:rFonts w:hint="eastAsia" w:ascii="黑体" w:hAnsi="黑体" w:eastAsia="黑体" w:cs="黑体"/>
                <w:b/>
                <w:sz w:val="22"/>
                <w:szCs w:val="22"/>
              </w:rPr>
            </w:pPr>
            <w:r>
              <w:rPr>
                <w:rFonts w:hint="eastAsia" w:ascii="黑体" w:hAnsi="黑体" w:eastAsia="黑体" w:cs="黑体"/>
                <w:sz w:val="22"/>
                <w:szCs w:val="22"/>
              </w:rPr>
              <w:t>2. 任何一肢于腕骨或踝骨部位或以上切断。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91 严重面部烧伤</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指烧伤程度为Ⅲ度，且Ⅲ度烧伤的面积达到面部表面积的 80%或 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92 多处臂丛神经 根性撕脱</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由于疾病或意外导致至少两根臂丛神经根性撕脱，所造成的手臂感觉功能与运动功能完全 永久性丧失。该病须由相关专科医生明确诊断，并且有电生理检查结果证实。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93 骨生长不全症</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指一种胶原病，特征为骨易碎，骨质疏松和易骨折。该病有 4 种类型：Ⅰ型、Ⅱ型、Ⅲ 型、Ⅳ型。只保障Ⅲ型成骨不全的情形。其主要临床特点有：发展迟缓、多发性骨折、进 行性脊柱后侧凸及听力损害。Ⅲ型成骨不全的诊断必须根据身体检查，家族史，X 线检查 和皮肤活检报告资料确诊。 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94 溶血性链球菌 引起的坏疽</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包围肢体或躯干的浅筋膜和/或深筋膜受到溶血性链球菌的感染，病情在短时间内急剧恶 化，已经立刻进行了手术及清创术。最后的诊断必须由相关专科医生进行相关检查后证 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95 严重幼年型类 风湿性关节炎 ——18 周岁 前理赔</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指为了治疗幼年型类风湿关节炎，实际实施了膝关节或髋关节置换手术。 幼年型类风湿关节炎是一种儿童期发病的慢性关节炎，其特点为在高热和系统性病征出现 数月后发生关节炎。 被保险人疾病诊断时年龄必须在年满 18 周岁之前。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96 埃博拉病毒感 染</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指埃博拉病毒感染导致的烈性传染病，并须满足下列全部条件：</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 1. 实验室检查证实埃博拉病毒的存在；</w:t>
            </w:r>
          </w:p>
          <w:p>
            <w:pPr>
              <w:widowControl/>
              <w:jc w:val="left"/>
              <w:rPr>
                <w:rFonts w:hint="eastAsia" w:ascii="黑体" w:hAnsi="黑体" w:eastAsia="黑体" w:cs="黑体"/>
                <w:b/>
                <w:sz w:val="22"/>
                <w:szCs w:val="22"/>
              </w:rPr>
            </w:pPr>
            <w:r>
              <w:rPr>
                <w:rFonts w:hint="eastAsia" w:ascii="黑体" w:hAnsi="黑体" w:eastAsia="黑体" w:cs="黑体"/>
                <w:sz w:val="22"/>
                <w:szCs w:val="22"/>
              </w:rPr>
              <w:t xml:space="preserve"> 2. 从发病开始有超过 30 天的进行性感染症状。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b/>
                <w:sz w:val="22"/>
                <w:szCs w:val="22"/>
              </w:rPr>
              <w:br w:type="page"/>
            </w:r>
            <w:r>
              <w:rPr>
                <w:rFonts w:hint="eastAsia" w:ascii="黑体" w:hAnsi="黑体" w:eastAsia="黑体" w:cs="黑体"/>
                <w:sz w:val="22"/>
                <w:szCs w:val="22"/>
              </w:rPr>
              <w:t>97 丝虫病所致象 皮肿</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指末期丝虫病，按国际淋巴学会分级为三度淋巴液肿，其临床表现为肢体非凹陷性水肿伴 畸形增大、硬皮症和疣状增生。此病症须经相关专科医生根据临床表现和微丝蚴的化验结 果确诊。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98 器官移植导致 的 HIV 感染</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指因进行器官移植而感染上人类免疫缺陷病毒（HIV），且须满足下列全部条件：</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被保险人因治疗必需而实施器官移植，并且因器官移植而感染人类免疫缺陷病毒 （HIV）；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提供器官移植治疗的器官移植中心或医院出具该项器官移植感染，属于医疗责任事故的 报告，或者法院终审裁定为医疗责任并且不准上诉；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提供器官移植治疗的器官移植中心或医院必须拥有合法经营执照。 在任何治愈艾滋病或阻止人类免疫缺陷病毒（HIV）病毒作用的疗法被发现以后，或能防 止艾滋病发生的医疗方法被研究出来以后，本保障将不再予以赔付。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本公司承担本项疾病责任不受本合同责任免除中“被保险人感染艾滋病病毒或患艾滋病” 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99 经输血导致的 HIV 感染</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是指被保险人感染上人类免疫缺陷病毒（HIV）并且符合下列所有条件：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被保险人因治疗必需而接受输血，并且因输血而感染人类免疫缺陷病毒（HIV）；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提供输血治疗的输血中心或医院出具该项输血感染属医疗责任事故的报告，或者法院终 审裁定为医疗责任并且不准上诉；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提供输血治疗的输血中心或医院必须拥有合法经营执照；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受感染的被保险人不是血友病患者。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在任何治愈艾滋病或阻止人类免疫缺陷病毒（HIV）病毒作用的疗法被发现以后，或能防 止艾滋病发生的医疗方法被研究出来以后，本保障将不再予以赔付。 保险公司必须拥有获得使用被保险人的所有血液样本的权利和能够对这些样本进行独立检 验的权利。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本公司承担本项疾病责任不受本合同责任免除中“被保险人感染艾滋病病毒或患艾滋病” 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100 因职业关系导 致的 HIV 感染</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被保险人在其常规职业工作过程中遭遇外伤，或职业需要处理血液或其它体液时感染上人 类免疫缺陷病毒（HIV）。必须满足下列全部条件：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感染必须是在被保险人正在从事其职业工作中发生，该职业必须属于下列限定职业范围 内的职业；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血清转化必须出现在事故发生后的 6 个月以内；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必须提供被保险人在所报事故后发生的 5 天以内进行的检查报告，该报告必须显示被保 险人血液人类免疫缺陷病毒（HIV）阴性和/或人类免疫缺陷病毒（HIV）抗体阴性； 4. 必须在事故发生后的 12 个月内证实被保险人体内存在人类免疫缺陷病毒（HIV）或人类 免疫缺陷病毒（HIV）抗体。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限定职业： 医生和牙科医生、护士、医院化验室工作人员、医院护工、医生助理和牙医助理、救护车 工作人员、助产士、消防队员、警察、狱警。 在任何治愈艾滋病或阻止人类免疫缺陷病毒（HIV）病毒作用的疗法被发现以后，或能防 止艾滋病发生的医疗方法被研究出来以后，本保障将不再予以赔付。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本公司承担本项疾病责任不受本合同责任免除中“被保险人感染艾滋病病毒或患艾滋病” 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101</w:t>
            </w:r>
            <w:r>
              <w:rPr>
                <w:rFonts w:hint="eastAsia" w:ascii="黑体" w:hAnsi="黑体" w:eastAsia="黑体" w:cs="黑体"/>
                <w:sz w:val="22"/>
                <w:szCs w:val="22"/>
              </w:rPr>
              <w:t>严重骨髓异常增生综合征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严重骨髓异常增生综合征是指符合世界卫生组织（WHO）2008年分型方案中的难治性贫血细胞减少伴原始细胞增多-1（RAEB-1）、难治性贫血细胞减少伴原始细胞增多-2（RAEB-2）、MDS-未分类（MDS-U）、MDS 伴单纯5q-，且需满足下列所有条件： 1.由我们认可的医院中设有专门血液病专科的公立三级甲等医院，血液病专科的 主治级别以上的医师确诊； 2.骨髓穿刺或骨髓活检结果支持诊断； 3.被保险人已持续接受一个月以上的化疗或已接受骨髓移植治疗。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102</w:t>
            </w:r>
            <w:r>
              <w:rPr>
                <w:rFonts w:hint="eastAsia" w:ascii="黑体" w:hAnsi="黑体" w:eastAsia="黑体" w:cs="黑体"/>
                <w:sz w:val="22"/>
                <w:szCs w:val="22"/>
              </w:rPr>
              <w:t>自体造血干细胞移植术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为治疗造血功能损害或造血系统恶性肿瘤，已经实施了造血干细胞（包括骨髓造血干细胞、外周血造血干细胞和脐血造血干细胞）的自体移植手术。 该治疗须由专科医生认为在临床上是必需的。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103</w:t>
            </w:r>
            <w:r>
              <w:rPr>
                <w:rFonts w:hint="eastAsia" w:ascii="黑体" w:hAnsi="黑体" w:eastAsia="黑体" w:cs="黑体"/>
                <w:sz w:val="22"/>
                <w:szCs w:val="22"/>
              </w:rPr>
              <w:t>脊髓灰质炎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是由于脊髓灰质炎病毒感染所致的瘫痪性疾病，临床表现为运动功能损害或呼吸无力。脊髓灰质炎必须明确诊断。本合同仅对脊髓灰质炎造成的神经系统功能损害导致被保险人一肢或一肢以上肢体机能永久完全丧失的情况予以理赔。 肢体机能永久完全丧失，指疾病确诊180天后或意外伤害发生180天后，每肢三大关节中的两大关节仍然完全僵硬，或不能随意识活动。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104</w:t>
            </w:r>
            <w:r>
              <w:rPr>
                <w:rFonts w:hint="eastAsia" w:ascii="黑体" w:hAnsi="黑体" w:eastAsia="黑体" w:cs="黑体"/>
                <w:sz w:val="22"/>
                <w:szCs w:val="22"/>
              </w:rPr>
              <w:t>独立能力丧失</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指疾病或外伤造成被保险人至少持续6个月以上完全无法独立完成六项基本日常生活活动中的三项或三项以上。被保险人的日常生活活动能力丧失必须是永久性的。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105</w:t>
            </w:r>
            <w:r>
              <w:rPr>
                <w:rFonts w:hint="eastAsia" w:ascii="黑体" w:hAnsi="黑体" w:eastAsia="黑体" w:cs="黑体"/>
                <w:sz w:val="22"/>
                <w:szCs w:val="22"/>
              </w:rPr>
              <w:t>肌萎缩脊髓侧索硬化后遗症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以肌肉无力及萎缩为特征，并有以下情况作为证明：脊髓前角细胞功能失调、可见的肌肉颤动、痉挛、过度活跃之深层肌腱反射和外部足底反射、影响皮质脊髓束、构音障碍及吞咽困难。必须由我们认可的医院专科医生以适当的神经肌肉检查如肌电图（EMG）证实。本疾病必须导致严重的生理功能损坏（由被保险人永久性无法独立完成最少 3 项基本日常生活活动作为证明）。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106血管性痴呆</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由缺血性卒中、出血性卒中和造成记忆、认知和行为等脑区低灌注的脑血管疾病所致的严重认知功能障碍综合征。被保险人自主生活能力完全丧失，无法独立完成六项基本日常生活活动中的三项或三项以上，日常生活必须持续受到他人监护。导致痴呆的疾病必须明确诊断，并且有完整的临床、实验室和影像学检查结果证实。 神经官能症，精神疾病及酒精中毒所致脑损害不在保障范围内。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107湿性年龄相关性黄斑变性</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又称为新生血管性年龄相关性黄斑变性或“渗出性”年龄相关性黄斑变性，发生脉络膜新生血管（CNV）异常生长穿透玻璃膜进入视网膜，新生血管渗漏，渗出及出血。该病必须由荧光素眼底血管造影检查提示黄斑区新生血管形成，并且必须由医院的眼科专科医生确诊为湿性年龄相关性黄斑变性。 被保险人申请理赔时须提供近3个月内视力改变显示病情恶化的相关检查报告、诊断证明及病历报告。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108严重癫痫</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本病的诊断须由神经科或儿科专科医生根据典型临床症状和脑电图及MRI、PET、CT等影相学检查做出。理赔时必须提供6个月以上的相关病历记录证明被保险人存在经抗癫痫药物治疗无效而反复发作的强直阵挛性发作或癫痫大发作，且已行神经外科手术以治疗反复发作的癫痫。 发热性惊厥以及没有全身性发作的失神发作（癫痫小发作）不在本保障范围内。</w:t>
            </w:r>
          </w:p>
        </w:tc>
      </w:tr>
    </w:tbl>
    <w:p>
      <w:pPr>
        <w:widowControl/>
        <w:jc w:val="left"/>
        <w:rPr>
          <w:rFonts w:ascii="华文中宋" w:hAnsi="华文中宋" w:eastAsia="华文中宋"/>
          <w:b/>
          <w:sz w:val="24"/>
          <w:szCs w:val="24"/>
        </w:rPr>
      </w:pPr>
    </w:p>
    <w:p>
      <w:pPr>
        <w:spacing w:line="340" w:lineRule="exact"/>
        <w:rPr>
          <w:rFonts w:ascii="华文中宋" w:hAnsi="华文中宋" w:eastAsia="华文中宋"/>
          <w:b/>
          <w:sz w:val="24"/>
          <w:szCs w:val="24"/>
        </w:rPr>
      </w:pPr>
      <w:r>
        <w:rPr>
          <w:rFonts w:hint="eastAsia" w:ascii="华文中宋" w:hAnsi="华文中宋" w:eastAsia="华文中宋"/>
          <w:b/>
          <w:sz w:val="24"/>
          <w:szCs w:val="24"/>
        </w:rPr>
        <w:t>二、</w:t>
      </w:r>
      <w:r>
        <w:rPr>
          <w:rFonts w:ascii="华文中宋" w:hAnsi="华文中宋" w:eastAsia="华文中宋"/>
          <w:b/>
          <w:sz w:val="24"/>
          <w:szCs w:val="24"/>
        </w:rPr>
        <w:t>轻症疾病</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 恶性肿瘤— —轻度</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指恶性细胞不受控制的进行性增长和扩散，浸润和破坏周围正常组织，可以经血管、淋巴 管和体腔扩散转移到身体其他部位，病灶经组织病理学检查（涵盖骨髓病理学检查）结果 明确诊断，临床诊断属于世界卫生组织（WHO，World Health Organization）《疾病和有关 健康问题的国际统计分类》第十次修订版（ICD-10）的恶性肿瘤类别及《国际疾病分类肿 瘤学专辑》第三版（ICD-0-3）的肿瘤形态学编码属于 3、6、9（恶性肿瘤）范畴，但不在 “恶性肿瘤——重度”保障范围的疾病。且特指下列六项之一：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TNM 分期为Ⅰ期的甲状腺癌；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TNM 分期为 T1N0M0期的前列腺癌；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黑色素瘤以外的未发生淋巴结和远处转移的皮肤恶性肿瘤；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相当于 Binet 分期方案 A 期程度的慢性淋巴细胞白血病；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 相当于 Ann Arbor 分期方案Ⅰ期程度的何杰金氏病；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6. 未发生淋巴结和远处转移且 WHO 分级为 G1 级别（核分裂像&lt;10/50 HPF 和 ki-67≤2%） 的神经内分泌肿瘤。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下列疾病不属于“恶性肿瘤——轻度”，不在保障范围内：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ICD-0-3 肿瘤形态学编码属于 0（良性肿瘤）、1（动态未定性肿瘤）、2（原位癌和非侵袭 性癌）范畴的疾病，如：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a.原位癌，癌前病变，非浸润性癌，非侵袭性癌，肿瘤细胞未侵犯基底层，上皮内瘤变， 细胞不典型性增生等； </w:t>
            </w:r>
          </w:p>
          <w:p>
            <w:pPr>
              <w:widowControl/>
              <w:jc w:val="left"/>
              <w:rPr>
                <w:rFonts w:hint="eastAsia" w:ascii="黑体" w:hAnsi="黑体" w:eastAsia="黑体" w:cs="黑体"/>
                <w:b/>
                <w:sz w:val="22"/>
                <w:szCs w:val="22"/>
              </w:rPr>
            </w:pPr>
            <w:r>
              <w:rPr>
                <w:rFonts w:hint="eastAsia" w:ascii="黑体" w:hAnsi="黑体" w:eastAsia="黑体" w:cs="黑体"/>
                <w:sz w:val="22"/>
                <w:szCs w:val="22"/>
              </w:rPr>
              <w:t>b.交界性肿瘤，交界恶性肿瘤，肿瘤低度恶性潜能，潜在低度恶性肿瘤等。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 较轻急性心 肌梗死</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急性心肌梗死指由于冠状动脉闭塞或梗阻引起部分心肌严重的持久性缺血造成急性心肌坏 死。急性心肌梗死的诊断必须依据国际国内诊断标准，符合：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检测到肌酸激酶同工酶（CK-MB）或肌钙蛋白（cTn）升高和/或降低的动态变化，至少 一次达到或超过心肌梗死的临床诊断标准；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同时存在下列之一的证据，包括：缺血性胸痛症状、新发生的缺血性心电图改变、新生 成的病理性 Q 波、影像学证据显示有新出现的心肌活性丧失或新出现局部室壁运动异常、 冠脉造影证实存在冠状动脉血栓。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较轻急性心肌梗死指依照上述标准被明确诊断为急性心肌梗死，但未达到“较重急性心肌 梗死”的给付标准。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其他非冠状动脉阻塞性疾病引起的肌钙蛋白（cTn）升高不在保障范围内。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本公司对“冠状动脉介入手术”、“较轻急性心肌梗死”和“激光心肌血运重建术”三项 中的其中一项承担保险责任，给付其中一项保险金后，对其他二项轻症疾病保险责任同时 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 轻度脑中风 后遗症</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指因脑血管的突发病变引起脑血管出血、栓塞或梗塞，须由头颅断层扫描（CT）、核磁共 振检查（MRI）等影像学检查证实，并导致神经系统永久性的功能障碍，但未达到“严重 脑中风后遗症”的给付标准，在疾病确诊 180 天后，仍遗留下列至少一种障碍：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一肢（含）以上肢体肌力为 3 级； </w:t>
            </w:r>
          </w:p>
          <w:p>
            <w:pPr>
              <w:widowControl/>
              <w:jc w:val="left"/>
              <w:rPr>
                <w:rFonts w:hint="eastAsia" w:ascii="黑体" w:hAnsi="黑体" w:eastAsia="黑体" w:cs="黑体"/>
                <w:b/>
                <w:sz w:val="22"/>
                <w:szCs w:val="22"/>
              </w:rPr>
            </w:pPr>
            <w:r>
              <w:rPr>
                <w:rFonts w:hint="eastAsia" w:ascii="黑体" w:hAnsi="黑体" w:eastAsia="黑体" w:cs="黑体"/>
                <w:sz w:val="22"/>
                <w:szCs w:val="22"/>
              </w:rPr>
              <w:t>2. 自主生活能力部分丧失，无法独立完成六项基本日常生活活动中的两项。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 激光心肌血 运重建术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指患有顽固性心绞痛，经持续药物治疗后无改善，冠状动脉搭桥手术及经皮血管成形手术 已失败或者被认为不适合。在本公司认可医院内实际进行了开胸手术下或者胸腔镜下的激 光心肌血运重建术。并且未达到本合同所指重大疾病“较重急性心肌梗死”的给付标准。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本公司对“冠状动脉介入手术”、“较轻急性心肌梗死”和“激光心肌血运重建术”三项 中的其中一项承担保险责任，给付其中一项保险金后，对其他二项轻症疾病保险责任同时 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 单个肢体缺 失</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指一个肢体自腕关节或踝关节近端（靠近躯干端）以上完全性断离，但未达到本合同所指 重大疾病“多个肢体缺失”的给付标准。因“糖尿病导致单足截除”导致的单个肢体缺失 不在本项保障范围内。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 病毒性肝炎 导致的肝硬 化</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因肝炎病毒感染的肝脏慢性炎症并发展为肝硬化，且未达到本合同所指重大疾病“严重慢 性肝衰竭”的给付标准。理赔时须满足下列全部条件：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被保险人有感染慢性肝炎病毒的血清学及实验室检查报告等临床证据；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必须由相关专科医生基于肝脏组织病理学检查报告、临床表现及病史对肝炎病毒感染导 致肝硬化作出明确诊断；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病理学检查报告证明肝脏病变按 Metavir 分级表中属 F4 阶段或 Knodell 肝纤维化标准达 到 4 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由酒精或药物滥用而引起的本疾病不在保障范围内。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本公司对“病毒性肝炎导致的肝硬化”和“慢性肝功能衰竭”两项中的其中一项承担保险 责任，给付其中一项保险金后，对另一项轻症疾病保险责任同时终止。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 脑垂体瘤、 脑囊肿、脑 动脉瘤及脑 血管瘤</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指经头颅断层扫描（CT）、核磁共振检查（MRI）或者其他影像学检查被确诊为下列病 变，并实际接受了手术或者放射治疗，且未达到本合同重大疾病“颅脑手术”的给付标 准：</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（1）脑垂体瘤；（2）脑囊肿；（3）脑动脉瘤、脑血管瘤。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本公司对“微创颅脑手术”和“脑垂体瘤、脑囊肿、脑动脉瘤及脑血管瘤”两项中的其中 一项承担保险责任，给付其中一项保险金后，对另一项轻症疾病保险责任同时终止。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 中度进行性 核上性麻痹</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指一种少见的神经系统变性疾病，以假球麻痹、垂直性核上性眼肌麻痹、锥体外系肌僵 直、步态共济失调和轻度痴呆为主要临床特征。须满足自主生活能力严重丧失，无法独立 完成六项基本日常生活活动中的两项。但未达到重大疾病“进行性核上性麻痹”或“瘫 痪”的标准。本病须经相关专科医生明确诊断。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 轻度坏死性 筋膜炎</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是一种由细菌侵入皮下组织和筋膜引起的急性坏死性软组织感染，可伴有毒血症、败血 症、中毒性休克、弥漫性血管内凝血及多器官衰竭。但未到重大疾病“重症急性坏死性筋 膜炎”的标准。本病须经相关专科医生明确诊断。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10 中度感染性 心内膜炎</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指因感染性微生物造成心脏内膜炎症，并且累及心脏瓣膜，导致心脏瓣膜病变,且未达到 重大疾病“感染性心内膜炎”或“心脏瓣膜手术”的给付标准。必须满足下列条件：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急性或亚急性感染性心内膜炎的临床表现,和心内膜炎引起轻度心瓣膜关闭不全或轻度 心瓣膜狭窄；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血液培养测试结果为阳性，证实存在感染性微生物。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本公司对“中度感染性心内膜炎”和“心脏瓣膜介入手术”两项中的其中一项承担保险责 任，给付其中一项保险金后，对另一项疾病保险责任同时终止。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11 角膜移植</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指为增进视力或治疗某些角膜疾患，已经实施了异体的角膜移植手术。此手术必须在相关 专科医生认为是医疗必须的情况下进行。 本公司对“视力严重受损——3 周岁始理赔”、“单目失明——3 周岁始理赔”和“角膜移 植”三项中的其中一项承担保险责任，给付其中一项保险金后，对其它两项轻症疾病保险 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12 单目失明— —3 周岁始理 赔</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指因疾病或意外伤害导致单眼视力永久不可逆性丧失，但未达到本合同所指重大疾病“双 目失明”的给付标准，但患眼须满足下列至少一项条件：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眼球缺失或摘除；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矫正视力低于 0.02（采用国际标准视力表，如果使用其它视力表应进行换算）；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视野半径小于 5 度。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诊断须由相关专科医生确认，并且提供理赔当时的视力丧失诊断及检查证据。被保险人申 请理赔时年龄必须在 3 周岁以上，并且提供视力丧失诊断及检查证据。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本公司对“视力严重受损——3 周岁始理赔”、“单目失明——3 周岁始理赔”和“角膜移 植”三项中的其中一项承担保险责任，给付其中一项保险金后，对其它两项轻症疾病保险 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13 严重甲型及 乙型血友病</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被保险人必须是患上严重甲型血友病（缺乏 VIII 凝血因子）或严重乙型血友病（缺乏 IX 凝血因子），而凝血因子 VIII 或凝血因子 IX 的活性水平少于百分之一。诊断必须由相关 专科医生确认。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14 主动脉内手 术（非开胸 或开腹手 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为了治疗主动脉疾病实际实施了经皮经导管进行的主动脉内手术，且未达到本合同约定的 重大疾病“主动脉手术”的给付标准。</w:t>
            </w:r>
          </w:p>
          <w:p>
            <w:pPr>
              <w:widowControl/>
              <w:jc w:val="left"/>
              <w:rPr>
                <w:rFonts w:hint="eastAsia" w:ascii="黑体" w:hAnsi="黑体" w:eastAsia="黑体" w:cs="黑体"/>
                <w:b/>
                <w:sz w:val="22"/>
                <w:szCs w:val="22"/>
              </w:rPr>
            </w:pPr>
            <w:r>
              <w:rPr>
                <w:rFonts w:hint="eastAsia" w:ascii="黑体" w:hAnsi="黑体" w:eastAsia="黑体" w:cs="黑体"/>
                <w:sz w:val="22"/>
                <w:szCs w:val="22"/>
              </w:rPr>
              <w:t>主动脉指升主动脉、主动脉弓和降主动脉（含胸主 动脉和腹主动脉），不包括升主动脉、主动脉弓和降主动脉的分支血管。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15 糖尿病导致 单足截除</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因糖尿病引起的神经及血管病变累及足部，为了维持生命在本公司认可医院内已经进行了 医疗必须的由足踝或以上位置的单足截除手术，且未达到本合同约定的重大疾病“严重 I 型糖尿病”的给付标准。切除多只脚趾或因任何其他原因引起的截除术不在保障范围内。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16 植入心脏起 搏器</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因严重心律失常而确实已经实施永久性心脏起搏器的植入手术。理赔时须提供完整病历资 料及手术记录，诊断及治疗均须在相关专科医生认为是医疗必须的情况下进行。因“严重 I 型糖尿病”、“Ⅲ度房室传导阻滞”需植入心脏起搏器的情况，不在本病种赔付范围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17 轻度面部烧 伤</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指烧伤程度为Ⅲ度，且Ⅲ度烧伤的面积达到面部表面积的 30％或者 30％以上，但未达到面 部表面积的 80%。 本公司对“轻度面部烧伤”、“全身较小面积Ⅲ度烧伤”两项中的一项承担保险责任，给 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18 面部重建手 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因疾病或意外伤害导致面部毁容，确实进行整形或者重建手术（颈部以上的面部构造不完 整、缺失或者受损而对其形态及外观进行修复或者重建），同时必须由相关专科医生认为 该面部毁容是需要接受住院治疗，及其后接受该手术，而对该面部毁容所进行的治疗亦是 医疗所需。因纯粹整容原因、独立的牙齿修复、独立的鼻骨骨折或者独立的皮肤伤口所进 行的手术均不受此保障。被保险人达到条款约定的“轻度面部烧伤”轻症赔付责任，且因 此需行“面部重建手术”，则不在此保障范围内。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19 因肾上腺皮 脂腺瘤切除 肾上腺</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因肾上腺皮质腺瘤所导致的醛固酮分泌过多而产生的继发性恶性高血压而实际接受了肾上 腺切除术治疗。诊断及治疗均须由相关专科医生认为是医疗必须的情况下进行。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20 微创颅脑手 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被保险人因疾病确已实施全麻下的颅骨钻孔手术或者经鼻蝶窦入颅手术。因外伤而实施的 脑外科手术不在保障范围内。 本公司对“微创颅脑手术”和“脑垂体瘤、脑囊肿、脑动脉瘤及脑血管瘤”两项中的其中 一项承担保险责任，给付其中一项保险金后，对另一项轻症疾病保险责任同时终止。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21 特定的系统 性红斑狼疮</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指诊断为系统性红斑狼疮，且满足下列全部条件，并且未达到本合同所指重大疾病“系统 性红斑狼疮－（并发）Ⅲ型或以上狼疮性肾炎”或“严重慢性肾衰竭”的标准：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在下列五项情况中出现最少两项：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（1）关节炎：非磨损性关节炎，需涉及两个或两个以上关节；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（2）浆膜炎：胸膜炎或心包炎；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（3）肾病：24 小时尿蛋白定量达到 0.5 克，或尿液检查出现细胞管型；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（4）血液学异常：溶血性贫血、白细胞减少、或血小板减少；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（5）抗核抗体阳性、或抗 dsDNA 阳性，或抗 Smith 抗体阳性。 </w:t>
            </w:r>
          </w:p>
          <w:p>
            <w:pPr>
              <w:widowControl/>
              <w:jc w:val="left"/>
              <w:rPr>
                <w:rFonts w:hint="eastAsia" w:ascii="黑体" w:hAnsi="黑体" w:eastAsia="黑体" w:cs="黑体"/>
                <w:b/>
                <w:sz w:val="22"/>
                <w:szCs w:val="22"/>
              </w:rPr>
            </w:pPr>
            <w:r>
              <w:rPr>
                <w:rFonts w:hint="eastAsia" w:ascii="黑体" w:hAnsi="黑体" w:eastAsia="黑体" w:cs="黑体"/>
                <w:sz w:val="22"/>
                <w:szCs w:val="22"/>
              </w:rPr>
              <w:t>2. 系统性红斑狼疮的诊断必须由相关专科医生确定。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22 视力严重受 损——3 周岁 始理赔</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指因疾病或者意外伤害导致双眼视力永久不可逆性丧失，且未达到本合同所指重大疾病 “双目失明”的给付标准，但满足下列条件之一： 1. 双眼中较好眼矫正视力低于 0.1（采用国际标准视力表，如果使用其他视力表应进行换 算）； 2. 双眼中较好眼视野半径小于 20 度。 被保险人申请理赔时年龄必须在 3 周岁以上，并且提供视力丧失诊断及检查证据。 本公司对“视力严重受损—3 周岁始理赔”、“单目失明—3 周岁始理赔”和“角膜移植” 三项中的其中一项承担保险责任，给付其中一项保险金后，对其它两项轻症疾病保险责任 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23 慢性肝功能 衰竭</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指因慢性肝脏疾病导致肝功能衰竭，且未达到本合同所指重大疾病“严重慢性肝衰竭”的 给付标准。须满足下列任意三个条件：</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持续性黄疸；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腹水；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肝性脑病；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充血性脾肿大伴脾功能亢进或食管胃底静脉曲张。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因酗酒或药物滥用导致的肝功能衰竭不在保障范围内。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本公司对“病毒性肝炎导致的肝硬化”和“慢性肝功能衰竭”两项中的其中一项承担保险 责任，给付其中一项保险金后，对另一项轻症疾病保险责任同时终止。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24 中度肠道并 发症</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严重肠道疾病或外伤导致小肠损害并发症，且未达到本合同所指重大疾病“严重肠道疾病 并发症”的给付标准。</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本疾病须满足以下所有条件：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至少切除了二分之一小肠；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完全肠外营养支持二个月以上。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被保险人已达到本合同所指的重大疾病“严重肠道疾病并发症”标准的，本公司不承担本 项轻症疾病保险责任。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25 中度阿尔茨 海默病</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指因大脑进行性、不可逆性改变导致智能严重衰退或丧失，临床表现为明显的认知能力障 碍、行为异常和社交能力减退，其日常生活必须持续受到他人监护。须由头颅断层扫描 (CT)、核磁共振检查（MRI）或正电子发射断层扫描（PET）等影像学检查证实，并且自 主生活能力严重丧失，经鉴定无法独立完成六项基本日常生活活动中的两项，但未达到本 合同所指重大疾病“严重阿尔茨海默病”或“瘫痪”的给付标准。以下情况不在保障范围 内： </w:t>
            </w:r>
          </w:p>
          <w:p>
            <w:pPr>
              <w:widowControl/>
              <w:jc w:val="left"/>
              <w:rPr>
                <w:rFonts w:hint="eastAsia" w:ascii="黑体" w:hAnsi="黑体" w:eastAsia="黑体" w:cs="黑体"/>
                <w:sz w:val="22"/>
                <w:szCs w:val="22"/>
              </w:rPr>
            </w:pPr>
            <w:r>
              <w:rPr>
                <w:rFonts w:hint="eastAsia" w:ascii="黑体" w:hAnsi="黑体" w:eastAsia="黑体" w:cs="黑体"/>
                <w:sz w:val="22"/>
                <w:szCs w:val="22"/>
              </w:rPr>
              <w:t>1. 存在酒精滥用、药物滥用或获得性免疫缺陷综合征（AIDS）情况下的痴呆；</w:t>
            </w:r>
          </w:p>
          <w:p>
            <w:pPr>
              <w:widowControl/>
              <w:jc w:val="left"/>
              <w:rPr>
                <w:rFonts w:hint="eastAsia" w:ascii="黑体" w:hAnsi="黑体" w:eastAsia="黑体" w:cs="黑体"/>
                <w:b/>
                <w:sz w:val="22"/>
                <w:szCs w:val="22"/>
              </w:rPr>
            </w:pPr>
            <w:r>
              <w:rPr>
                <w:rFonts w:hint="eastAsia" w:ascii="黑体" w:hAnsi="黑体" w:eastAsia="黑体" w:cs="黑体"/>
                <w:sz w:val="22"/>
                <w:szCs w:val="22"/>
              </w:rPr>
              <w:t>2. 神经官能症和精神疾病。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26 中度原发性 帕金森氏病</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是一种中枢神经系统的退行性疾病，临床表现为震颤麻痹、共济失调等。须同时符合下列 所有条件，且未达到本合同所指重大疾病“严重原发性帕金森病”或“瘫痪”的给付标 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无法通过药物控制；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出现逐步退化客观征状；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经鉴定至少持续 180 天无法独立完成六项基本日常生活活动中的二项。 </w:t>
            </w:r>
          </w:p>
          <w:p>
            <w:pPr>
              <w:widowControl/>
              <w:jc w:val="left"/>
              <w:rPr>
                <w:rFonts w:hint="eastAsia" w:ascii="黑体" w:hAnsi="黑体" w:eastAsia="黑体" w:cs="黑体"/>
                <w:b/>
                <w:sz w:val="22"/>
                <w:szCs w:val="22"/>
              </w:rPr>
            </w:pPr>
            <w:r>
              <w:rPr>
                <w:rFonts w:hint="eastAsia" w:ascii="黑体" w:hAnsi="黑体" w:eastAsia="黑体" w:cs="黑体"/>
                <w:sz w:val="22"/>
                <w:szCs w:val="22"/>
              </w:rPr>
              <w:t>继发性帕金森综合征、帕金森叠加综合征不在保障范围内。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27 全身较小面 积Ⅲ度烧伤</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指烧伤程度为Ⅲ度，且Ⅲ度烧伤面积为全身体表面积的 10%或者 10%以上，但尚未达到 20%。体表面积根据《中国新九分法》计算。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本公司对“轻度面部烧伤”、“全身较小面积Ⅲ度烧伤”两项中的一项承担保险责任，给 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28 冠状动脉介 入手术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为了治疗明显的冠状动脉狭窄性疾病，首次实际实施了冠状动脉球囊扩张成形术、冠状动 脉支架植入术、冠状动脉粥肿斑块切除术或者激光冠状动脉成形术。 本公司对“冠状动脉介入手术”、“较轻急性心肌梗死”和“激光心肌血运重建术”三项 中的其中一项承担保险责任，给付其中一项保险金后，对其他项轻症疾病保险责任同时终 止。 </w:t>
            </w:r>
          </w:p>
          <w:p>
            <w:pPr>
              <w:widowControl/>
              <w:jc w:val="left"/>
              <w:rPr>
                <w:rFonts w:hint="eastAsia" w:ascii="黑体" w:hAnsi="黑体" w:eastAsia="黑体" w:cs="黑体"/>
                <w:b/>
                <w:sz w:val="22"/>
                <w:szCs w:val="22"/>
              </w:rPr>
            </w:pPr>
            <w:r>
              <w:rPr>
                <w:rFonts w:hint="eastAsia" w:ascii="黑体" w:hAnsi="黑体" w:eastAsia="黑体" w:cs="黑体"/>
                <w:sz w:val="22"/>
                <w:szCs w:val="22"/>
              </w:rPr>
              <w:t>被保险人已经达到本条款“较重急性心肌梗死”标准的，则不在冠状动脉介入手术的保障 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29 腔静脉过滤 器植入术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指为治疗反复肺栓塞发作，抗凝血疗法无效，已经实施了腔静脉过滤器植入术。手术必须 在相关专科医生认为是医学上必需的情况下进行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30 早期象皮病</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指因丝虫感染导致淋巴管阻塞而造成身体组织出现严重淋巴水肿，但未达到本合同所指重 大疾病“丝虫病所致象皮肿”的给付标准，需达到国际淋巴学会分级为 2 级淋巴液肿，其 临床表现为肿胀为凹陷性，肢体抬高休息时肿胀不消失，有中度纤维化。此病症须经相关 专科医生根据临床表现和微丝蚴的化验结果确诊。由性接触传染的疾病、创伤、手术后疤 痕、充血性心力衰竭或先天性淋巴系统异常引起的淋巴水肿，以及急性淋巴管炎或其他原 因引起的淋巴水肿不在保障范围内。</w:t>
            </w:r>
          </w:p>
        </w:tc>
      </w:tr>
    </w:tbl>
    <w:p>
      <w:pPr>
        <w:widowControl/>
        <w:jc w:val="left"/>
        <w:rPr>
          <w:rFonts w:ascii="华文中宋" w:hAnsi="华文中宋" w:eastAsia="华文中宋"/>
          <w:b/>
          <w:sz w:val="24"/>
          <w:szCs w:val="24"/>
        </w:rPr>
      </w:pPr>
    </w:p>
    <w:p>
      <w:pPr>
        <w:spacing w:line="340" w:lineRule="exact"/>
        <w:rPr>
          <w:rFonts w:ascii="华文中宋" w:hAnsi="华文中宋" w:eastAsia="华文中宋"/>
          <w:b/>
          <w:sz w:val="24"/>
          <w:szCs w:val="24"/>
        </w:rPr>
      </w:pPr>
      <w:r>
        <w:rPr>
          <w:rFonts w:hint="eastAsia" w:ascii="华文中宋" w:hAnsi="华文中宋" w:eastAsia="华文中宋"/>
          <w:b/>
          <w:sz w:val="24"/>
          <w:szCs w:val="24"/>
        </w:rPr>
        <w:t>三、</w:t>
      </w:r>
      <w:r>
        <w:rPr>
          <w:rFonts w:ascii="华文中宋" w:hAnsi="华文中宋" w:eastAsia="华文中宋"/>
          <w:b/>
          <w:sz w:val="24"/>
          <w:szCs w:val="24"/>
        </w:rPr>
        <w:t>中症疾病</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 肾脏切除</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指因疾病或意外伤害导致肾脏严重损害，已经实施了至少单侧全肾的切除手术。下列情况 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部分肾切除手术；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因恶性肿瘤进行的肾切除手术；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3. 作为器官捐献者而实施的肾切除手术。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 心包膜切除 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指为治疗心包膜疾病，已经实施了心包膜切除术，但未达到本合同所指重大疾病“严重慢 性缩窄性心包炎”的给付标准。手术必须在相关专科医生认为是医学上必需的情况下进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 肝叶切除</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指因疾病或意外伤害导致肝脏严重损害，已经实施了肝左叶切除手术或肝右叶切除手术 （备注：本定义是按肝脏的传统解剖分段法将肝脏分为肝左叶和肝右叶）。下列情况不在 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肝区切除、肝段切除手术；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因酒精或者滥用药物引致的疾病或者紊乱；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因恶性肿瘤进行的肝切除手术；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4. 作为器官捐献者而实施的肝切除手术。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 单侧肺脏切 除</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指因疾病或意外伤害导致肺部严重损害，已经实施了单侧全肺切除手术。下列情况不在保 障范围内： 1. 肺叶切除、肺段切除手术； 2. 因恶性肿瘤进行的肺切除手术； 3. 作为器官捐献者而实施的肺切除手术。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 双侧睾丸切 除术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指为治疗疾病实际接受了经腹部切开或腹腔镜进行的双侧睾丸完全切除手术。下列情况不 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部分睾丸切除； </w:t>
            </w:r>
          </w:p>
          <w:p>
            <w:pPr>
              <w:widowControl/>
              <w:jc w:val="left"/>
              <w:rPr>
                <w:rFonts w:hint="eastAsia" w:ascii="黑体" w:hAnsi="黑体" w:eastAsia="黑体" w:cs="黑体"/>
                <w:b/>
                <w:sz w:val="22"/>
                <w:szCs w:val="22"/>
              </w:rPr>
            </w:pPr>
            <w:r>
              <w:rPr>
                <w:rFonts w:hint="eastAsia" w:ascii="黑体" w:hAnsi="黑体" w:eastAsia="黑体" w:cs="黑体"/>
                <w:sz w:val="22"/>
                <w:szCs w:val="22"/>
              </w:rPr>
              <w:t>2. 因恶性肿瘤进行的睾丸切除。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 双侧卵巢切 除术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指为治疗疾病实际接受了经腹部切开或腹腔镜进行的双侧卵巢完全切除手术。下列情况不 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部分卵巢切除；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因恶性肿瘤进行的卵巢切除术； </w:t>
            </w:r>
          </w:p>
          <w:p>
            <w:pPr>
              <w:widowControl/>
              <w:jc w:val="left"/>
              <w:rPr>
                <w:rFonts w:hint="eastAsia" w:ascii="黑体" w:hAnsi="黑体" w:eastAsia="黑体" w:cs="黑体"/>
                <w:b/>
                <w:sz w:val="22"/>
                <w:szCs w:val="22"/>
              </w:rPr>
            </w:pPr>
            <w:r>
              <w:rPr>
                <w:rFonts w:hint="eastAsia" w:ascii="黑体" w:hAnsi="黑体" w:eastAsia="黑体" w:cs="黑体"/>
                <w:sz w:val="22"/>
                <w:szCs w:val="22"/>
              </w:rPr>
              <w:t>3. 预防性卵巢切除。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 中度脑损伤</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指因头部遭受机械性外力，引起脑重要部位损伤，导致神经系统永久性的功能障碍。须由 头颅断层扫描（CT）、核磁共振检查（MRI）或正电子发射断层扫描（PET）等影像学检 查证实。神经系统永久性的功能障碍，指脑损伤 180 天后，仍完全丧失自主生活能力，经 鉴定无法独立完成六项基本日常生活活动中的两项或以上，但未达到重大疾病“严重脑损 伤”或“瘫痪”的给付标准。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 中度运动神 经元病</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指一组中枢神经系统运动神经元的进行性变性疾病，包括进行性脊肌萎缩症、进行性延髓 麻痹症、原发性侧索硬化症、肌萎缩性侧索硬化症。须满足自主生活能力部分丧失，经鉴 定无法独立完成六项基本日常生活活动中的两项。但未达到本合同所指重大疾病“严重运 动神经元病”或“瘫痪”的给付标准。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 中度脑炎或 脑膜炎后遗 症</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指因患脑炎或脑膜炎导致的神经系统的功能障碍。神经系统的功能障碍，指疾病确诊 180 天后，仍存在自主活动能力完全丧失，经鉴定无法独立完成六项基本日常生活活动中的两 项。若被保险人已符合本合同所指的重大疾病“严重脑炎后遗症或严重脑膜炎后遗症”或 “瘫痪”给付标准的，则不在保障范围内。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10 心脏瓣膜介 入手术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为了治疗心脏瓣膜疾病，实际实施了经皮经导管介入手术进行的心脏瓣膜置换或者修复手 术。 本公司对“中度感染性心内膜炎”和“心脏瓣膜介入手术”两项中的其中一项承担保险责 任，给付其中一项保险金后，对另一项疾病保险责任同时终止。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11 原发性肺动 脉高压</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指由于原发性肺动脉高压进行性发展，已经造成永久不可逆性的体力活动能力受限，达到 美国纽约心脏病学会心功能状态分级 III 级及以上，但尚未达到 IV 级，且静息状态下肺动 脉平均压超过 25mmHg，但尚未超过 36mmHg。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12 早期原发性 心肌病</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被诊断为原发性心肌病，并符合下列所有条件，但未达到本合同所指重大疾病“严重心肌 病”的给付标准：</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 1. 导致心室功能受损，其受损程度达到美国纽约心脏病学会心功能状态分级Ⅲ级，或其同 等级别。</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 2. 原发性心肌病的诊断必须由相关专科医生确认，并提供心脏超声检查结果报告。 </w:t>
            </w:r>
          </w:p>
          <w:p>
            <w:pPr>
              <w:widowControl/>
              <w:jc w:val="left"/>
              <w:rPr>
                <w:rFonts w:hint="eastAsia" w:ascii="黑体" w:hAnsi="黑体" w:eastAsia="黑体" w:cs="黑体"/>
                <w:b/>
                <w:sz w:val="22"/>
                <w:szCs w:val="22"/>
              </w:rPr>
            </w:pPr>
            <w:r>
              <w:rPr>
                <w:rFonts w:hint="eastAsia" w:ascii="黑体" w:hAnsi="黑体" w:eastAsia="黑体" w:cs="黑体"/>
                <w:sz w:val="22"/>
                <w:szCs w:val="22"/>
              </w:rPr>
              <w:t>本保障范围内的心肌病仅包括扩张型心肌病、肥厚型心肌病及限制型心肌病。继发于全身 性疾病或其他器官系统疾病及酒精滥用造成的心肌病变不在保障范围内。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13 中度慢性呼 吸功能衰竭</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指因慢性呼吸系统疾病导致永久不可逆的呼吸功能衰竭，但未达到本合同所指重大疾病 “严重慢性呼吸衰竭”或“严重继发性肺动脉高压”的给付标准，且诊断必须满足以下所 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第一秒末用力呼吸量（FEV1）小于 1 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残气容积占肺总量（TLC）的 50%以上；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3. PaO2&lt;60mmHg，但≥50mmHg。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14 特定周围动 脉疾病的血 管介入治疗</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指为治疗一条或者一条以上的下列动脉狭窄而实施的血管介入治疗：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为下肢或者上肢供血的动脉；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肾动脉；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肠系膜动脉。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须满足下列全部条件： 1. 经血管造影术证实一条或者一条以上的上述动脉狭窄达到 50%或者以上； 2. 对一条或者一条以上的上述动脉施行了血管介入治疗，如血管成形术及/或者进行植入 支架或者动脉粥样瘤清除手术。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此诊断及治疗均须在相关专科医生认为是医疗必须的情况下进行。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15 于颈动脉进 行血管成形 术或内膜切 除术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指根据颈动脉造影检查结果，确诊一条或以上颈动脉存在严重狭窄性病变（至少一支血管 管腔直径减少 50%以上）。本病须经相关专科医生明确诊断，同时必须已经采取以下手术 以减轻症状：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确实进行动脉内膜切除术； </w:t>
            </w:r>
          </w:p>
          <w:p>
            <w:pPr>
              <w:widowControl/>
              <w:jc w:val="left"/>
              <w:rPr>
                <w:rFonts w:hint="eastAsia" w:ascii="黑体" w:hAnsi="黑体" w:eastAsia="黑体" w:cs="黑体"/>
                <w:b/>
                <w:sz w:val="22"/>
                <w:szCs w:val="22"/>
              </w:rPr>
            </w:pPr>
            <w:r>
              <w:rPr>
                <w:rFonts w:hint="eastAsia" w:ascii="黑体" w:hAnsi="黑体" w:eastAsia="黑体" w:cs="黑体"/>
                <w:sz w:val="22"/>
                <w:szCs w:val="22"/>
              </w:rPr>
              <w:t>2. 确实进行血管介入治疗，例如血管成形术及/或进行植入支架手术。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16 中度类风湿 性关节炎</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根据美国风湿病学院的诊断标准，由相关专科医生明确诊断并符合下列所有理赔条件，但 未达到本合同所指重大疾病“严重类风湿性关节炎”或“严重幼年型类风湿性关节炎—— 18 周岁前理赔”的标准：表现为关节严重变形，侵犯至少两个主要关节或关节组（如：双 手（多手指）关节、双足（多足趾）关节、双腕关节、双膝关节和双髋关节）。类风湿性 关节炎必须明确诊断并且已经达到类风湿性关节炎功能分级Ⅲ级以上的功能障碍（关节活 动严重限制，不能完成大部分的日常工作和活动）。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17 中度重症肌 无力</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是一种神经与肌肉接头部位传递障碍的自身免疫性疾病，临床特征是局部或全身横纹肌于 活动时易于疲劳无力，颅神经眼外肌最易累及，也可涉及呼吸肌、下肢近端肌群以至全身 肌肉。该病必须由相关专科医生明确诊断，且疾病确诊 180 天后，仍然存在自主生活能力 部分丧失，经鉴定无法独立完成六项基本日常生活活动中的二项，但未达到本合同所指重 大疾病“全身性（型）重症肌无力”或“瘫痪”的给付标准。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18 中度肌营养 不良症</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指一组原发于肌肉的遗传性疾病，临床表现为与神经系统无关的肌肉无力和肌肉萎缩。但 未达到本合同所指重大疾病“严重肌营养不良症”或“瘫痪”的给付标准。须满足下列全 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肌肉组织活检结果满足肌营养不良症的肌肉细胞变性、坏死等阳性改变；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自主生活能力严重丧失，经鉴定无法独立完成六项基本日常生活活动中的两项或两项以 上。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19 中度溃疡性 结肠炎</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本合同所保障的溃疡性结肠炎是指伴有致命性电解质紊乱的急性暴发性溃疡性结肠炎，病 变累及全结肠，表现为严重的血便和系统性症状体征和肠破裂的风险，本疾病的确诊必须 经由内窥镜检查证实该疾病侵犯全部结肠及直肠及活体切片检查证实为溃疡性结肠炎。且 须经相关专科医生连续以系统性免疫抑制剂或免疫调节剂持续治疗最少 90 天，但未达到本 合同所指重大疾病“严重溃疡性结肠炎”的给付标准，才符合本保障范围。其他种类的炎 性结肠炎,只发生在直肠的溃疡性结肠炎均不在保障范围内。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20 早期系统性 硬皮病</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指一种以局限性或弥漫性皮肤增厚和皮肤、血管、内脏器官异常纤维化为特征的结缔组织 病。本病须经相关专科医生明确诊断，且未达到本合同所指重大疾病“系统性硬皮病”的 标准，并须满足下列所有条件： 1. 必须是经由相关专科医生根据美国风湿病学会（ACR）及欧洲抗风湿病联盟(EULAR)在 2013 年发布的系统性硬皮病诊断标准确认达到确诊标准（总分值由每一个分类中的最高比 重（分值）相加而成，总分≥9 分的患者被分类为系统性硬皮病）。 2. 须提供明确的病理活检及自身抗体免疫血清学证据支持。 以下情况不在保障范围内： 1. 局限性硬皮病（带状硬皮病或斑状损害）； 2. 嗜酸性筋膜炎； 3. CREST 综合征。</w:t>
            </w:r>
          </w:p>
        </w:tc>
      </w:tr>
    </w:tbl>
    <w:p>
      <w:pPr>
        <w:spacing w:line="340" w:lineRule="exact"/>
        <w:rPr>
          <w:rFonts w:ascii="华文中宋" w:hAnsi="华文中宋" w:eastAsia="华文中宋"/>
          <w:b/>
          <w:sz w:val="24"/>
          <w:szCs w:val="24"/>
        </w:rPr>
      </w:pPr>
    </w:p>
    <w:p>
      <w:pPr>
        <w:rPr>
          <w:rFonts w:hint="eastAsia" w:ascii="华文中宋" w:hAnsi="华文中宋" w:eastAsia="华文中宋"/>
          <w:b/>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昆仑仿宋">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AD"/>
    <w:rsid w:val="000079DF"/>
    <w:rsid w:val="000147F8"/>
    <w:rsid w:val="000174D8"/>
    <w:rsid w:val="00034033"/>
    <w:rsid w:val="00035C59"/>
    <w:rsid w:val="00052E65"/>
    <w:rsid w:val="00066344"/>
    <w:rsid w:val="00071280"/>
    <w:rsid w:val="00080630"/>
    <w:rsid w:val="000B21C7"/>
    <w:rsid w:val="000B7B6D"/>
    <w:rsid w:val="000E658A"/>
    <w:rsid w:val="000F5136"/>
    <w:rsid w:val="00104121"/>
    <w:rsid w:val="00161AC1"/>
    <w:rsid w:val="00184149"/>
    <w:rsid w:val="001A2349"/>
    <w:rsid w:val="001A6B74"/>
    <w:rsid w:val="001C116B"/>
    <w:rsid w:val="001C39EA"/>
    <w:rsid w:val="001D0D53"/>
    <w:rsid w:val="001D14AA"/>
    <w:rsid w:val="001D615C"/>
    <w:rsid w:val="001E6A7C"/>
    <w:rsid w:val="001F58AE"/>
    <w:rsid w:val="00206891"/>
    <w:rsid w:val="00211F3E"/>
    <w:rsid w:val="00270726"/>
    <w:rsid w:val="002761F9"/>
    <w:rsid w:val="00290975"/>
    <w:rsid w:val="002A4279"/>
    <w:rsid w:val="002E2EFB"/>
    <w:rsid w:val="00304136"/>
    <w:rsid w:val="003050AF"/>
    <w:rsid w:val="003317D8"/>
    <w:rsid w:val="00331E49"/>
    <w:rsid w:val="00345A73"/>
    <w:rsid w:val="00366122"/>
    <w:rsid w:val="003679C4"/>
    <w:rsid w:val="003761A7"/>
    <w:rsid w:val="00384B1B"/>
    <w:rsid w:val="003910E3"/>
    <w:rsid w:val="003D7487"/>
    <w:rsid w:val="003D7CAD"/>
    <w:rsid w:val="004023EF"/>
    <w:rsid w:val="00406D85"/>
    <w:rsid w:val="00414A2C"/>
    <w:rsid w:val="00415BFD"/>
    <w:rsid w:val="0042633E"/>
    <w:rsid w:val="004376A1"/>
    <w:rsid w:val="0044123F"/>
    <w:rsid w:val="004554AE"/>
    <w:rsid w:val="00471121"/>
    <w:rsid w:val="00484630"/>
    <w:rsid w:val="004A4768"/>
    <w:rsid w:val="004B149A"/>
    <w:rsid w:val="004D6246"/>
    <w:rsid w:val="004E51C3"/>
    <w:rsid w:val="00501FA3"/>
    <w:rsid w:val="00503B5B"/>
    <w:rsid w:val="0053173C"/>
    <w:rsid w:val="005A6E09"/>
    <w:rsid w:val="005C6A06"/>
    <w:rsid w:val="005C6D4D"/>
    <w:rsid w:val="005D0161"/>
    <w:rsid w:val="005D3066"/>
    <w:rsid w:val="005F09E1"/>
    <w:rsid w:val="006003D8"/>
    <w:rsid w:val="00617A5F"/>
    <w:rsid w:val="006302DB"/>
    <w:rsid w:val="006319AF"/>
    <w:rsid w:val="0064039D"/>
    <w:rsid w:val="00655547"/>
    <w:rsid w:val="00657189"/>
    <w:rsid w:val="006723B8"/>
    <w:rsid w:val="0067661A"/>
    <w:rsid w:val="006862C4"/>
    <w:rsid w:val="006A2CD2"/>
    <w:rsid w:val="006B7E6D"/>
    <w:rsid w:val="006D065F"/>
    <w:rsid w:val="006E210E"/>
    <w:rsid w:val="006E5C00"/>
    <w:rsid w:val="00702773"/>
    <w:rsid w:val="00706C49"/>
    <w:rsid w:val="007449FA"/>
    <w:rsid w:val="00757665"/>
    <w:rsid w:val="007607E4"/>
    <w:rsid w:val="007650B1"/>
    <w:rsid w:val="007B1242"/>
    <w:rsid w:val="007E427B"/>
    <w:rsid w:val="008119CE"/>
    <w:rsid w:val="00816F34"/>
    <w:rsid w:val="00832161"/>
    <w:rsid w:val="008374FE"/>
    <w:rsid w:val="008456D6"/>
    <w:rsid w:val="00854BA4"/>
    <w:rsid w:val="00854C45"/>
    <w:rsid w:val="008766C0"/>
    <w:rsid w:val="00897861"/>
    <w:rsid w:val="008A68AE"/>
    <w:rsid w:val="008A7F48"/>
    <w:rsid w:val="008B66B0"/>
    <w:rsid w:val="008C36A2"/>
    <w:rsid w:val="009038C8"/>
    <w:rsid w:val="00941F60"/>
    <w:rsid w:val="00942757"/>
    <w:rsid w:val="00950CF3"/>
    <w:rsid w:val="00951B5C"/>
    <w:rsid w:val="00952101"/>
    <w:rsid w:val="0095295B"/>
    <w:rsid w:val="00976A54"/>
    <w:rsid w:val="0099182E"/>
    <w:rsid w:val="00995907"/>
    <w:rsid w:val="009C6415"/>
    <w:rsid w:val="009E2CC2"/>
    <w:rsid w:val="00A01E79"/>
    <w:rsid w:val="00A2767F"/>
    <w:rsid w:val="00A43EAE"/>
    <w:rsid w:val="00A51CA4"/>
    <w:rsid w:val="00A5586E"/>
    <w:rsid w:val="00A7755C"/>
    <w:rsid w:val="00A802FC"/>
    <w:rsid w:val="00A8741A"/>
    <w:rsid w:val="00AA5C77"/>
    <w:rsid w:val="00AB6E7C"/>
    <w:rsid w:val="00AF1882"/>
    <w:rsid w:val="00B00125"/>
    <w:rsid w:val="00B0386C"/>
    <w:rsid w:val="00B073AD"/>
    <w:rsid w:val="00B10254"/>
    <w:rsid w:val="00B176A3"/>
    <w:rsid w:val="00B43CF2"/>
    <w:rsid w:val="00B47C65"/>
    <w:rsid w:val="00B516EC"/>
    <w:rsid w:val="00B574B9"/>
    <w:rsid w:val="00BB2598"/>
    <w:rsid w:val="00BE6C9D"/>
    <w:rsid w:val="00BF4FB6"/>
    <w:rsid w:val="00C06452"/>
    <w:rsid w:val="00C158BE"/>
    <w:rsid w:val="00C2324E"/>
    <w:rsid w:val="00C330C8"/>
    <w:rsid w:val="00C7549C"/>
    <w:rsid w:val="00CA67DC"/>
    <w:rsid w:val="00CB26FE"/>
    <w:rsid w:val="00CB3456"/>
    <w:rsid w:val="00CB7628"/>
    <w:rsid w:val="00CC0A3A"/>
    <w:rsid w:val="00CC37A4"/>
    <w:rsid w:val="00CF0408"/>
    <w:rsid w:val="00CF4DA4"/>
    <w:rsid w:val="00D11298"/>
    <w:rsid w:val="00D37098"/>
    <w:rsid w:val="00D45203"/>
    <w:rsid w:val="00D57325"/>
    <w:rsid w:val="00D6044E"/>
    <w:rsid w:val="00DA2B92"/>
    <w:rsid w:val="00DA35E9"/>
    <w:rsid w:val="00DB38AC"/>
    <w:rsid w:val="00DB4041"/>
    <w:rsid w:val="00DC1F0B"/>
    <w:rsid w:val="00DC3ACA"/>
    <w:rsid w:val="00DC4168"/>
    <w:rsid w:val="00DE654E"/>
    <w:rsid w:val="00DF2F5D"/>
    <w:rsid w:val="00E04A2F"/>
    <w:rsid w:val="00EC07D7"/>
    <w:rsid w:val="00ED2E52"/>
    <w:rsid w:val="00ED36AE"/>
    <w:rsid w:val="00F52D9A"/>
    <w:rsid w:val="00F5468A"/>
    <w:rsid w:val="00F723F3"/>
    <w:rsid w:val="00FC282D"/>
    <w:rsid w:val="00FC3ED5"/>
    <w:rsid w:val="00FD3F68"/>
    <w:rsid w:val="00FF19A4"/>
    <w:rsid w:val="00FF4BF6"/>
    <w:rsid w:val="013A20ED"/>
    <w:rsid w:val="014C1A2E"/>
    <w:rsid w:val="017F2CBB"/>
    <w:rsid w:val="03C921F7"/>
    <w:rsid w:val="04654AC5"/>
    <w:rsid w:val="04E96333"/>
    <w:rsid w:val="05AF7C1B"/>
    <w:rsid w:val="05C676DF"/>
    <w:rsid w:val="05FD6C9C"/>
    <w:rsid w:val="072A29F6"/>
    <w:rsid w:val="07A87A6D"/>
    <w:rsid w:val="07DA4ED6"/>
    <w:rsid w:val="09A568E4"/>
    <w:rsid w:val="09A97EA2"/>
    <w:rsid w:val="0A1F6BD6"/>
    <w:rsid w:val="0BE777CF"/>
    <w:rsid w:val="0D122699"/>
    <w:rsid w:val="0D821F89"/>
    <w:rsid w:val="0E325D5A"/>
    <w:rsid w:val="0EBF548B"/>
    <w:rsid w:val="10E0517F"/>
    <w:rsid w:val="10E340C2"/>
    <w:rsid w:val="10F77621"/>
    <w:rsid w:val="11320E1A"/>
    <w:rsid w:val="11BC338E"/>
    <w:rsid w:val="125C5284"/>
    <w:rsid w:val="12BD2521"/>
    <w:rsid w:val="12D85F9B"/>
    <w:rsid w:val="130458CD"/>
    <w:rsid w:val="132571CA"/>
    <w:rsid w:val="140F30D0"/>
    <w:rsid w:val="1427534C"/>
    <w:rsid w:val="158B7B61"/>
    <w:rsid w:val="16543871"/>
    <w:rsid w:val="171634AA"/>
    <w:rsid w:val="1789584A"/>
    <w:rsid w:val="19123A82"/>
    <w:rsid w:val="19517C88"/>
    <w:rsid w:val="197A5E8A"/>
    <w:rsid w:val="197E1B84"/>
    <w:rsid w:val="19833F21"/>
    <w:rsid w:val="1BDA2043"/>
    <w:rsid w:val="1C9751E2"/>
    <w:rsid w:val="1D0A7FE8"/>
    <w:rsid w:val="1E001B8C"/>
    <w:rsid w:val="1EF948E1"/>
    <w:rsid w:val="1FD530B0"/>
    <w:rsid w:val="1FE17BE3"/>
    <w:rsid w:val="218B3D23"/>
    <w:rsid w:val="227962A7"/>
    <w:rsid w:val="250B5513"/>
    <w:rsid w:val="26353FE7"/>
    <w:rsid w:val="26FA1BE8"/>
    <w:rsid w:val="272358BE"/>
    <w:rsid w:val="2757171F"/>
    <w:rsid w:val="27BA339C"/>
    <w:rsid w:val="288803F7"/>
    <w:rsid w:val="289C43FD"/>
    <w:rsid w:val="298817E6"/>
    <w:rsid w:val="29CC3097"/>
    <w:rsid w:val="2A320BEC"/>
    <w:rsid w:val="2A505513"/>
    <w:rsid w:val="2ACC12C9"/>
    <w:rsid w:val="2B9A2C2A"/>
    <w:rsid w:val="2C456551"/>
    <w:rsid w:val="2D6F70EF"/>
    <w:rsid w:val="2F5D5E5E"/>
    <w:rsid w:val="2FD46678"/>
    <w:rsid w:val="304659AE"/>
    <w:rsid w:val="308E783F"/>
    <w:rsid w:val="32091FA5"/>
    <w:rsid w:val="326659E9"/>
    <w:rsid w:val="326D361F"/>
    <w:rsid w:val="329B1FE3"/>
    <w:rsid w:val="32E206CA"/>
    <w:rsid w:val="34A357D2"/>
    <w:rsid w:val="3501469A"/>
    <w:rsid w:val="366F62E1"/>
    <w:rsid w:val="3688721B"/>
    <w:rsid w:val="36C63C98"/>
    <w:rsid w:val="3862245B"/>
    <w:rsid w:val="388B733F"/>
    <w:rsid w:val="38ED670D"/>
    <w:rsid w:val="3A3119F5"/>
    <w:rsid w:val="3A3674A2"/>
    <w:rsid w:val="3AB945B1"/>
    <w:rsid w:val="3BD176E7"/>
    <w:rsid w:val="3D013B00"/>
    <w:rsid w:val="3DFD6FB4"/>
    <w:rsid w:val="3E076770"/>
    <w:rsid w:val="3EE079F7"/>
    <w:rsid w:val="3FA003E6"/>
    <w:rsid w:val="406D02D9"/>
    <w:rsid w:val="409F7319"/>
    <w:rsid w:val="41AF2157"/>
    <w:rsid w:val="41D2569A"/>
    <w:rsid w:val="438E68FA"/>
    <w:rsid w:val="439847DD"/>
    <w:rsid w:val="44BB5B8C"/>
    <w:rsid w:val="468D31F7"/>
    <w:rsid w:val="46FF5B62"/>
    <w:rsid w:val="472A6F8C"/>
    <w:rsid w:val="480734FE"/>
    <w:rsid w:val="483E44A5"/>
    <w:rsid w:val="4898383C"/>
    <w:rsid w:val="4A865E61"/>
    <w:rsid w:val="4D0A29D9"/>
    <w:rsid w:val="4D6272D9"/>
    <w:rsid w:val="4F2D602E"/>
    <w:rsid w:val="503D17FF"/>
    <w:rsid w:val="5076406E"/>
    <w:rsid w:val="50771DAD"/>
    <w:rsid w:val="507A6030"/>
    <w:rsid w:val="50C33B8C"/>
    <w:rsid w:val="50DC50BC"/>
    <w:rsid w:val="51580148"/>
    <w:rsid w:val="515924DD"/>
    <w:rsid w:val="51910C90"/>
    <w:rsid w:val="51B06A6E"/>
    <w:rsid w:val="51D22117"/>
    <w:rsid w:val="52924DA7"/>
    <w:rsid w:val="53956DB3"/>
    <w:rsid w:val="53AE777F"/>
    <w:rsid w:val="53B6178B"/>
    <w:rsid w:val="53C042B6"/>
    <w:rsid w:val="53C47483"/>
    <w:rsid w:val="547B3D51"/>
    <w:rsid w:val="54E91D57"/>
    <w:rsid w:val="55D54E4F"/>
    <w:rsid w:val="56185660"/>
    <w:rsid w:val="57684178"/>
    <w:rsid w:val="5ABE5677"/>
    <w:rsid w:val="5B373FFD"/>
    <w:rsid w:val="5BA5778E"/>
    <w:rsid w:val="5BCC1427"/>
    <w:rsid w:val="5CC53199"/>
    <w:rsid w:val="5D9E52D8"/>
    <w:rsid w:val="5F0F065A"/>
    <w:rsid w:val="5F285616"/>
    <w:rsid w:val="5FD97406"/>
    <w:rsid w:val="602E3F17"/>
    <w:rsid w:val="60D87F2C"/>
    <w:rsid w:val="613C369B"/>
    <w:rsid w:val="616A4953"/>
    <w:rsid w:val="645D34A2"/>
    <w:rsid w:val="65660051"/>
    <w:rsid w:val="65676B71"/>
    <w:rsid w:val="66207EB9"/>
    <w:rsid w:val="67C87C2F"/>
    <w:rsid w:val="67E92052"/>
    <w:rsid w:val="68611F07"/>
    <w:rsid w:val="69181086"/>
    <w:rsid w:val="69706799"/>
    <w:rsid w:val="6A345243"/>
    <w:rsid w:val="6A6E5969"/>
    <w:rsid w:val="6A836DC8"/>
    <w:rsid w:val="6ADC58D6"/>
    <w:rsid w:val="6B227CBC"/>
    <w:rsid w:val="6B3E6A7F"/>
    <w:rsid w:val="6B7A6F25"/>
    <w:rsid w:val="6C2724F1"/>
    <w:rsid w:val="6C6A7A0E"/>
    <w:rsid w:val="6C9115D2"/>
    <w:rsid w:val="6CAF4A04"/>
    <w:rsid w:val="6D437FBD"/>
    <w:rsid w:val="6D9C6185"/>
    <w:rsid w:val="6E6A3953"/>
    <w:rsid w:val="6EEC5300"/>
    <w:rsid w:val="6FB50EEC"/>
    <w:rsid w:val="70E473AB"/>
    <w:rsid w:val="71D8308B"/>
    <w:rsid w:val="722141FF"/>
    <w:rsid w:val="73491CF7"/>
    <w:rsid w:val="7435692B"/>
    <w:rsid w:val="74934ACC"/>
    <w:rsid w:val="74BF74B1"/>
    <w:rsid w:val="74D54A0D"/>
    <w:rsid w:val="767B5749"/>
    <w:rsid w:val="76B60E9D"/>
    <w:rsid w:val="76D225A3"/>
    <w:rsid w:val="76DA6038"/>
    <w:rsid w:val="778A5873"/>
    <w:rsid w:val="77B27711"/>
    <w:rsid w:val="786218CE"/>
    <w:rsid w:val="791025E4"/>
    <w:rsid w:val="7A7E4B67"/>
    <w:rsid w:val="7B6A3C4D"/>
    <w:rsid w:val="7BCD5CC2"/>
    <w:rsid w:val="7CC80BC7"/>
    <w:rsid w:val="7DA46E3C"/>
    <w:rsid w:val="7E3D2524"/>
    <w:rsid w:val="7E9C7848"/>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5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5"/>
    <w:unhideWhenUsed/>
    <w:qFormat/>
    <w:uiPriority w:val="0"/>
    <w:pPr>
      <w:keepNext/>
      <w:keepLines/>
      <w:spacing w:before="260" w:after="260" w:line="416" w:lineRule="auto"/>
      <w:outlineLvl w:val="1"/>
    </w:pPr>
    <w:rPr>
      <w:rFonts w:ascii="Cambria" w:hAnsi="Cambria" w:cs="黑体"/>
      <w:b/>
      <w:bCs/>
      <w:sz w:val="32"/>
      <w:szCs w:val="32"/>
    </w:rPr>
  </w:style>
  <w:style w:type="paragraph" w:styleId="5">
    <w:name w:val="heading 3"/>
    <w:basedOn w:val="1"/>
    <w:next w:val="1"/>
    <w:link w:val="15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57"/>
    <w:unhideWhenUsed/>
    <w:qFormat/>
    <w:uiPriority w:val="0"/>
    <w:pPr>
      <w:keepNext/>
      <w:keepLines/>
      <w:spacing w:before="280" w:after="290" w:line="376" w:lineRule="auto"/>
      <w:outlineLvl w:val="3"/>
    </w:pPr>
    <w:rPr>
      <w:rFonts w:ascii="Cambria" w:hAnsi="Cambria" w:cs="黑体"/>
      <w:b/>
      <w:bCs/>
      <w:sz w:val="28"/>
      <w:szCs w:val="28"/>
    </w:rPr>
  </w:style>
  <w:style w:type="paragraph" w:styleId="7">
    <w:name w:val="heading 5"/>
    <w:basedOn w:val="1"/>
    <w:next w:val="1"/>
    <w:link w:val="15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59"/>
    <w:semiHidden/>
    <w:unhideWhenUsed/>
    <w:qFormat/>
    <w:uiPriority w:val="0"/>
    <w:pPr>
      <w:keepNext/>
      <w:keepLines/>
      <w:spacing w:before="240" w:after="64" w:line="320" w:lineRule="auto"/>
      <w:outlineLvl w:val="5"/>
    </w:pPr>
    <w:rPr>
      <w:rFonts w:ascii="Cambria" w:hAnsi="Cambria" w:cs="黑体"/>
      <w:b/>
      <w:bCs/>
    </w:rPr>
  </w:style>
  <w:style w:type="paragraph" w:styleId="9">
    <w:name w:val="heading 7"/>
    <w:basedOn w:val="1"/>
    <w:next w:val="1"/>
    <w:link w:val="160"/>
    <w:semiHidden/>
    <w:unhideWhenUsed/>
    <w:qFormat/>
    <w:uiPriority w:val="0"/>
    <w:pPr>
      <w:keepNext/>
      <w:keepLines/>
      <w:spacing w:before="240" w:after="64" w:line="320" w:lineRule="auto"/>
      <w:outlineLvl w:val="6"/>
    </w:pPr>
    <w:rPr>
      <w:b/>
      <w:bCs/>
    </w:rPr>
  </w:style>
  <w:style w:type="paragraph" w:styleId="10">
    <w:name w:val="heading 8"/>
    <w:basedOn w:val="1"/>
    <w:next w:val="1"/>
    <w:link w:val="161"/>
    <w:semiHidden/>
    <w:unhideWhenUsed/>
    <w:qFormat/>
    <w:uiPriority w:val="0"/>
    <w:pPr>
      <w:keepNext/>
      <w:keepLines/>
      <w:spacing w:before="240" w:after="64" w:line="320" w:lineRule="auto"/>
      <w:outlineLvl w:val="7"/>
    </w:pPr>
    <w:rPr>
      <w:rFonts w:ascii="Cambria" w:hAnsi="Cambria" w:cs="黑体"/>
    </w:rPr>
  </w:style>
  <w:style w:type="paragraph" w:styleId="11">
    <w:name w:val="heading 9"/>
    <w:basedOn w:val="1"/>
    <w:next w:val="1"/>
    <w:link w:val="162"/>
    <w:semiHidden/>
    <w:unhideWhenUsed/>
    <w:qFormat/>
    <w:uiPriority w:val="0"/>
    <w:pPr>
      <w:keepNext/>
      <w:keepLines/>
      <w:spacing w:before="240" w:after="64" w:line="320" w:lineRule="auto"/>
      <w:outlineLvl w:val="8"/>
    </w:pPr>
    <w:rPr>
      <w:rFonts w:ascii="Cambria" w:hAnsi="Cambria" w:cs="黑体"/>
      <w:sz w:val="21"/>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8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400" w:hanging="200" w:hangingChars="200"/>
      <w:contextualSpacing/>
    </w:pPr>
    <w:rPr>
      <w:sz w:val="21"/>
    </w:rPr>
  </w:style>
  <w:style w:type="paragraph" w:styleId="13">
    <w:name w:val="toc 7"/>
    <w:basedOn w:val="1"/>
    <w:next w:val="1"/>
    <w:qFormat/>
    <w:uiPriority w:val="0"/>
    <w:pPr>
      <w:ind w:left="2520" w:leftChars="1200"/>
    </w:pPr>
    <w:rPr>
      <w:sz w:val="21"/>
    </w:rPr>
  </w:style>
  <w:style w:type="paragraph" w:styleId="14">
    <w:name w:val="List Number 2"/>
    <w:basedOn w:val="1"/>
    <w:qFormat/>
    <w:uiPriority w:val="0"/>
    <w:pPr>
      <w:numPr>
        <w:ilvl w:val="0"/>
        <w:numId w:val="1"/>
      </w:numPr>
      <w:contextualSpacing/>
    </w:pPr>
    <w:rPr>
      <w:sz w:val="21"/>
    </w:rPr>
  </w:style>
  <w:style w:type="paragraph" w:styleId="15">
    <w:name w:val="table of authorities"/>
    <w:basedOn w:val="1"/>
    <w:next w:val="1"/>
    <w:qFormat/>
    <w:uiPriority w:val="0"/>
    <w:pPr>
      <w:ind w:left="420" w:leftChars="200"/>
    </w:pPr>
    <w:rPr>
      <w:sz w:val="21"/>
    </w:rPr>
  </w:style>
  <w:style w:type="paragraph" w:styleId="16">
    <w:name w:val="Note Heading"/>
    <w:basedOn w:val="1"/>
    <w:next w:val="1"/>
    <w:link w:val="194"/>
    <w:qFormat/>
    <w:uiPriority w:val="0"/>
    <w:pPr>
      <w:jc w:val="center"/>
    </w:pPr>
    <w:rPr>
      <w:sz w:val="21"/>
    </w:rPr>
  </w:style>
  <w:style w:type="paragraph" w:styleId="17">
    <w:name w:val="List Bullet 4"/>
    <w:basedOn w:val="1"/>
    <w:qFormat/>
    <w:uiPriority w:val="0"/>
    <w:pPr>
      <w:numPr>
        <w:ilvl w:val="0"/>
        <w:numId w:val="2"/>
      </w:numPr>
      <w:contextualSpacing/>
    </w:pPr>
    <w:rPr>
      <w:sz w:val="21"/>
    </w:rPr>
  </w:style>
  <w:style w:type="paragraph" w:styleId="18">
    <w:name w:val="index 8"/>
    <w:basedOn w:val="1"/>
    <w:next w:val="1"/>
    <w:qFormat/>
    <w:uiPriority w:val="0"/>
    <w:pPr>
      <w:ind w:left="1400" w:leftChars="1400"/>
    </w:pPr>
    <w:rPr>
      <w:sz w:val="21"/>
    </w:rPr>
  </w:style>
  <w:style w:type="paragraph" w:styleId="19">
    <w:name w:val="E-mail Signature"/>
    <w:basedOn w:val="1"/>
    <w:link w:val="180"/>
    <w:qFormat/>
    <w:uiPriority w:val="0"/>
    <w:rPr>
      <w:sz w:val="21"/>
    </w:rPr>
  </w:style>
  <w:style w:type="paragraph" w:styleId="20">
    <w:name w:val="List Number"/>
    <w:basedOn w:val="1"/>
    <w:qFormat/>
    <w:uiPriority w:val="0"/>
    <w:pPr>
      <w:numPr>
        <w:ilvl w:val="0"/>
        <w:numId w:val="3"/>
      </w:numPr>
      <w:contextualSpacing/>
    </w:pPr>
    <w:rPr>
      <w:sz w:val="21"/>
    </w:rPr>
  </w:style>
  <w:style w:type="paragraph" w:styleId="21">
    <w:name w:val="Normal Indent"/>
    <w:basedOn w:val="1"/>
    <w:qFormat/>
    <w:uiPriority w:val="0"/>
    <w:pPr>
      <w:ind w:firstLine="420" w:firstLineChars="200"/>
    </w:pPr>
    <w:rPr>
      <w:sz w:val="21"/>
    </w:rPr>
  </w:style>
  <w:style w:type="paragraph" w:styleId="22">
    <w:name w:val="caption"/>
    <w:basedOn w:val="1"/>
    <w:next w:val="1"/>
    <w:semiHidden/>
    <w:unhideWhenUsed/>
    <w:qFormat/>
    <w:uiPriority w:val="0"/>
    <w:rPr>
      <w:rFonts w:ascii="Cambria" w:hAnsi="Cambria" w:eastAsia="黑体" w:cs="黑体"/>
      <w:sz w:val="20"/>
      <w:szCs w:val="20"/>
    </w:rPr>
  </w:style>
  <w:style w:type="paragraph" w:styleId="23">
    <w:name w:val="index 5"/>
    <w:basedOn w:val="1"/>
    <w:next w:val="1"/>
    <w:qFormat/>
    <w:uiPriority w:val="0"/>
    <w:pPr>
      <w:ind w:left="800" w:leftChars="800"/>
    </w:pPr>
    <w:rPr>
      <w:sz w:val="21"/>
    </w:rPr>
  </w:style>
  <w:style w:type="paragraph" w:styleId="24">
    <w:name w:val="List Bullet"/>
    <w:basedOn w:val="1"/>
    <w:qFormat/>
    <w:uiPriority w:val="0"/>
    <w:pPr>
      <w:numPr>
        <w:ilvl w:val="0"/>
        <w:numId w:val="4"/>
      </w:numPr>
      <w:contextualSpacing/>
    </w:pPr>
    <w:rPr>
      <w:sz w:val="21"/>
    </w:rPr>
  </w:style>
  <w:style w:type="paragraph" w:styleId="25">
    <w:name w:val="envelope address"/>
    <w:basedOn w:val="1"/>
    <w:qFormat/>
    <w:uiPriority w:val="0"/>
    <w:pPr>
      <w:snapToGrid w:val="0"/>
      <w:ind w:left="100" w:leftChars="1400"/>
    </w:pPr>
    <w:rPr>
      <w:rFonts w:ascii="Cambria" w:hAnsi="Cambria" w:cs="黑体"/>
    </w:rPr>
  </w:style>
  <w:style w:type="paragraph" w:styleId="26">
    <w:name w:val="Document Map"/>
    <w:basedOn w:val="1"/>
    <w:link w:val="188"/>
    <w:qFormat/>
    <w:uiPriority w:val="0"/>
    <w:rPr>
      <w:rFonts w:ascii="宋体"/>
      <w:sz w:val="18"/>
      <w:szCs w:val="18"/>
    </w:rPr>
  </w:style>
  <w:style w:type="paragraph" w:styleId="27">
    <w:name w:val="toa heading"/>
    <w:basedOn w:val="1"/>
    <w:next w:val="1"/>
    <w:qFormat/>
    <w:uiPriority w:val="0"/>
    <w:pPr>
      <w:spacing w:before="120"/>
    </w:pPr>
    <w:rPr>
      <w:rFonts w:ascii="Cambria" w:hAnsi="Cambria" w:cs="黑体"/>
    </w:rPr>
  </w:style>
  <w:style w:type="paragraph" w:styleId="28">
    <w:name w:val="annotation text"/>
    <w:basedOn w:val="1"/>
    <w:link w:val="172"/>
    <w:qFormat/>
    <w:uiPriority w:val="0"/>
    <w:pPr>
      <w:jc w:val="left"/>
    </w:pPr>
    <w:rPr>
      <w:sz w:val="21"/>
    </w:rPr>
  </w:style>
  <w:style w:type="paragraph" w:styleId="29">
    <w:name w:val="index 6"/>
    <w:basedOn w:val="1"/>
    <w:next w:val="1"/>
    <w:qFormat/>
    <w:uiPriority w:val="0"/>
    <w:pPr>
      <w:ind w:left="1000" w:leftChars="1000"/>
    </w:pPr>
    <w:rPr>
      <w:sz w:val="21"/>
    </w:rPr>
  </w:style>
  <w:style w:type="paragraph" w:styleId="30">
    <w:name w:val="Salutation"/>
    <w:basedOn w:val="1"/>
    <w:next w:val="1"/>
    <w:link w:val="179"/>
    <w:qFormat/>
    <w:uiPriority w:val="0"/>
    <w:rPr>
      <w:sz w:val="21"/>
    </w:rPr>
  </w:style>
  <w:style w:type="paragraph" w:styleId="31">
    <w:name w:val="Body Text 3"/>
    <w:basedOn w:val="1"/>
    <w:link w:val="193"/>
    <w:qFormat/>
    <w:uiPriority w:val="0"/>
    <w:pPr>
      <w:spacing w:after="120"/>
    </w:pPr>
    <w:rPr>
      <w:sz w:val="16"/>
      <w:szCs w:val="16"/>
    </w:rPr>
  </w:style>
  <w:style w:type="paragraph" w:styleId="32">
    <w:name w:val="Closing"/>
    <w:basedOn w:val="1"/>
    <w:link w:val="184"/>
    <w:qFormat/>
    <w:uiPriority w:val="0"/>
    <w:pPr>
      <w:ind w:left="100" w:leftChars="2100"/>
    </w:pPr>
    <w:rPr>
      <w:sz w:val="21"/>
    </w:rPr>
  </w:style>
  <w:style w:type="paragraph" w:styleId="33">
    <w:name w:val="List Bullet 3"/>
    <w:basedOn w:val="1"/>
    <w:qFormat/>
    <w:uiPriority w:val="0"/>
    <w:pPr>
      <w:numPr>
        <w:ilvl w:val="0"/>
        <w:numId w:val="5"/>
      </w:numPr>
      <w:contextualSpacing/>
    </w:pPr>
    <w:rPr>
      <w:sz w:val="21"/>
    </w:rPr>
  </w:style>
  <w:style w:type="paragraph" w:styleId="34">
    <w:name w:val="Body Text"/>
    <w:basedOn w:val="1"/>
    <w:link w:val="164"/>
    <w:qFormat/>
    <w:uiPriority w:val="0"/>
    <w:pPr>
      <w:widowControl/>
      <w:spacing w:after="120"/>
      <w:jc w:val="left"/>
    </w:pPr>
    <w:rPr>
      <w:kern w:val="0"/>
      <w:szCs w:val="20"/>
    </w:rPr>
  </w:style>
  <w:style w:type="paragraph" w:styleId="35">
    <w:name w:val="Body Text Indent"/>
    <w:basedOn w:val="1"/>
    <w:link w:val="168"/>
    <w:qFormat/>
    <w:uiPriority w:val="0"/>
    <w:pPr>
      <w:ind w:firstLine="360"/>
    </w:pPr>
    <w:rPr>
      <w:sz w:val="18"/>
      <w:szCs w:val="20"/>
    </w:rPr>
  </w:style>
  <w:style w:type="paragraph" w:styleId="36">
    <w:name w:val="List Number 3"/>
    <w:basedOn w:val="1"/>
    <w:qFormat/>
    <w:uiPriority w:val="0"/>
    <w:pPr>
      <w:numPr>
        <w:ilvl w:val="0"/>
        <w:numId w:val="6"/>
      </w:numPr>
      <w:contextualSpacing/>
    </w:pPr>
    <w:rPr>
      <w:sz w:val="21"/>
    </w:rPr>
  </w:style>
  <w:style w:type="paragraph" w:styleId="37">
    <w:name w:val="List 2"/>
    <w:basedOn w:val="1"/>
    <w:qFormat/>
    <w:uiPriority w:val="0"/>
    <w:pPr>
      <w:ind w:left="100" w:leftChars="200" w:hanging="200" w:hangingChars="200"/>
    </w:pPr>
    <w:rPr>
      <w:sz w:val="21"/>
    </w:rPr>
  </w:style>
  <w:style w:type="paragraph" w:styleId="38">
    <w:name w:val="List Continue"/>
    <w:basedOn w:val="1"/>
    <w:qFormat/>
    <w:uiPriority w:val="0"/>
    <w:pPr>
      <w:spacing w:after="120"/>
      <w:ind w:left="420" w:leftChars="200"/>
      <w:contextualSpacing/>
    </w:pPr>
    <w:rPr>
      <w:sz w:val="21"/>
    </w:rPr>
  </w:style>
  <w:style w:type="paragraph" w:styleId="39">
    <w:name w:val="Block Text"/>
    <w:basedOn w:val="1"/>
    <w:qFormat/>
    <w:uiPriority w:val="0"/>
    <w:pPr>
      <w:snapToGrid w:val="0"/>
      <w:spacing w:line="360" w:lineRule="auto"/>
      <w:ind w:left="1" w:right="26"/>
    </w:pPr>
    <w:rPr>
      <w:rFonts w:ascii="宋体" w:hAnsi="宋体"/>
      <w:color w:val="FF0000"/>
      <w:sz w:val="20"/>
      <w:szCs w:val="30"/>
    </w:rPr>
  </w:style>
  <w:style w:type="paragraph" w:styleId="40">
    <w:name w:val="List Bullet 2"/>
    <w:basedOn w:val="1"/>
    <w:qFormat/>
    <w:uiPriority w:val="0"/>
    <w:pPr>
      <w:numPr>
        <w:ilvl w:val="0"/>
        <w:numId w:val="7"/>
      </w:numPr>
      <w:contextualSpacing/>
    </w:pPr>
    <w:rPr>
      <w:sz w:val="21"/>
    </w:rPr>
  </w:style>
  <w:style w:type="paragraph" w:styleId="41">
    <w:name w:val="HTML Address"/>
    <w:basedOn w:val="1"/>
    <w:link w:val="176"/>
    <w:qFormat/>
    <w:uiPriority w:val="0"/>
    <w:rPr>
      <w:i/>
      <w:iCs/>
      <w:sz w:val="21"/>
    </w:rPr>
  </w:style>
  <w:style w:type="paragraph" w:styleId="42">
    <w:name w:val="index 4"/>
    <w:basedOn w:val="1"/>
    <w:next w:val="1"/>
    <w:qFormat/>
    <w:uiPriority w:val="0"/>
    <w:pPr>
      <w:ind w:left="600" w:leftChars="600"/>
    </w:pPr>
    <w:rPr>
      <w:sz w:val="21"/>
    </w:rPr>
  </w:style>
  <w:style w:type="paragraph" w:styleId="43">
    <w:name w:val="toc 5"/>
    <w:basedOn w:val="1"/>
    <w:next w:val="1"/>
    <w:qFormat/>
    <w:uiPriority w:val="0"/>
    <w:pPr>
      <w:ind w:left="1680" w:leftChars="800"/>
    </w:pPr>
    <w:rPr>
      <w:sz w:val="21"/>
    </w:rPr>
  </w:style>
  <w:style w:type="paragraph" w:styleId="44">
    <w:name w:val="toc 3"/>
    <w:basedOn w:val="1"/>
    <w:next w:val="1"/>
    <w:qFormat/>
    <w:uiPriority w:val="39"/>
    <w:pPr>
      <w:ind w:left="840" w:leftChars="400"/>
    </w:pPr>
    <w:rPr>
      <w:sz w:val="21"/>
    </w:rPr>
  </w:style>
  <w:style w:type="paragraph" w:styleId="45">
    <w:name w:val="Plain Text"/>
    <w:basedOn w:val="1"/>
    <w:link w:val="167"/>
    <w:qFormat/>
    <w:uiPriority w:val="99"/>
    <w:rPr>
      <w:rFonts w:ascii="宋体" w:hAnsi="Courier New"/>
      <w:sz w:val="21"/>
      <w:szCs w:val="20"/>
    </w:rPr>
  </w:style>
  <w:style w:type="paragraph" w:styleId="46">
    <w:name w:val="List Bullet 5"/>
    <w:basedOn w:val="1"/>
    <w:qFormat/>
    <w:uiPriority w:val="0"/>
    <w:pPr>
      <w:numPr>
        <w:ilvl w:val="0"/>
        <w:numId w:val="8"/>
      </w:numPr>
      <w:contextualSpacing/>
    </w:pPr>
    <w:rPr>
      <w:sz w:val="21"/>
    </w:rPr>
  </w:style>
  <w:style w:type="paragraph" w:styleId="47">
    <w:name w:val="List Number 4"/>
    <w:basedOn w:val="1"/>
    <w:qFormat/>
    <w:uiPriority w:val="0"/>
    <w:pPr>
      <w:numPr>
        <w:ilvl w:val="0"/>
        <w:numId w:val="9"/>
      </w:numPr>
      <w:contextualSpacing/>
    </w:pPr>
    <w:rPr>
      <w:sz w:val="21"/>
    </w:rPr>
  </w:style>
  <w:style w:type="paragraph" w:styleId="48">
    <w:name w:val="toc 8"/>
    <w:basedOn w:val="1"/>
    <w:next w:val="1"/>
    <w:qFormat/>
    <w:uiPriority w:val="0"/>
    <w:pPr>
      <w:ind w:left="2940" w:leftChars="1400"/>
    </w:pPr>
    <w:rPr>
      <w:sz w:val="21"/>
    </w:rPr>
  </w:style>
  <w:style w:type="paragraph" w:styleId="49">
    <w:name w:val="index 3"/>
    <w:basedOn w:val="1"/>
    <w:next w:val="1"/>
    <w:qFormat/>
    <w:uiPriority w:val="0"/>
    <w:pPr>
      <w:ind w:left="400" w:leftChars="400"/>
    </w:pPr>
    <w:rPr>
      <w:sz w:val="21"/>
    </w:rPr>
  </w:style>
  <w:style w:type="paragraph" w:styleId="50">
    <w:name w:val="Date"/>
    <w:basedOn w:val="1"/>
    <w:next w:val="1"/>
    <w:link w:val="187"/>
    <w:qFormat/>
    <w:uiPriority w:val="99"/>
    <w:pPr>
      <w:ind w:left="100" w:leftChars="2500"/>
    </w:pPr>
    <w:rPr>
      <w:sz w:val="21"/>
    </w:rPr>
  </w:style>
  <w:style w:type="paragraph" w:styleId="51">
    <w:name w:val="Body Text Indent 2"/>
    <w:basedOn w:val="1"/>
    <w:link w:val="169"/>
    <w:qFormat/>
    <w:uiPriority w:val="0"/>
    <w:pPr>
      <w:spacing w:line="360" w:lineRule="atLeast"/>
      <w:ind w:left="420"/>
    </w:pPr>
    <w:rPr>
      <w:rFonts w:ascii="宋体"/>
      <w:color w:val="FF0000"/>
      <w:sz w:val="30"/>
      <w:szCs w:val="20"/>
    </w:rPr>
  </w:style>
  <w:style w:type="paragraph" w:styleId="52">
    <w:name w:val="endnote text"/>
    <w:basedOn w:val="1"/>
    <w:link w:val="174"/>
    <w:semiHidden/>
    <w:qFormat/>
    <w:uiPriority w:val="0"/>
    <w:pPr>
      <w:snapToGrid w:val="0"/>
      <w:jc w:val="left"/>
    </w:pPr>
    <w:rPr>
      <w:sz w:val="21"/>
    </w:rPr>
  </w:style>
  <w:style w:type="paragraph" w:styleId="53">
    <w:name w:val="List Continue 5"/>
    <w:basedOn w:val="1"/>
    <w:qFormat/>
    <w:uiPriority w:val="0"/>
    <w:pPr>
      <w:spacing w:after="120"/>
      <w:ind w:left="2100" w:leftChars="1000"/>
      <w:contextualSpacing/>
    </w:pPr>
    <w:rPr>
      <w:sz w:val="21"/>
    </w:rPr>
  </w:style>
  <w:style w:type="paragraph" w:styleId="54">
    <w:name w:val="Balloon Text"/>
    <w:basedOn w:val="1"/>
    <w:link w:val="171"/>
    <w:qFormat/>
    <w:uiPriority w:val="99"/>
    <w:rPr>
      <w:sz w:val="18"/>
      <w:szCs w:val="18"/>
    </w:rPr>
  </w:style>
  <w:style w:type="paragraph" w:styleId="55">
    <w:name w:val="footer"/>
    <w:basedOn w:val="1"/>
    <w:link w:val="163"/>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Cambria" w:hAnsi="Cambria" w:cs="黑体"/>
      <w:sz w:val="21"/>
    </w:rPr>
  </w:style>
  <w:style w:type="paragraph" w:styleId="57">
    <w:name w:val="header"/>
    <w:basedOn w:val="1"/>
    <w:link w:val="166"/>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86"/>
    <w:qFormat/>
    <w:uiPriority w:val="0"/>
    <w:pPr>
      <w:ind w:left="100" w:leftChars="2100"/>
    </w:pPr>
    <w:rPr>
      <w:sz w:val="21"/>
    </w:rPr>
  </w:style>
  <w:style w:type="paragraph" w:styleId="59">
    <w:name w:val="toc 1"/>
    <w:basedOn w:val="1"/>
    <w:next w:val="1"/>
    <w:qFormat/>
    <w:uiPriority w:val="0"/>
    <w:rPr>
      <w:sz w:val="21"/>
    </w:rPr>
  </w:style>
  <w:style w:type="paragraph" w:styleId="60">
    <w:name w:val="List Continue 4"/>
    <w:basedOn w:val="1"/>
    <w:qFormat/>
    <w:uiPriority w:val="0"/>
    <w:pPr>
      <w:spacing w:after="120"/>
      <w:ind w:left="1680" w:leftChars="800"/>
      <w:contextualSpacing/>
    </w:pPr>
    <w:rPr>
      <w:sz w:val="21"/>
    </w:rPr>
  </w:style>
  <w:style w:type="paragraph" w:styleId="61">
    <w:name w:val="toc 4"/>
    <w:basedOn w:val="1"/>
    <w:next w:val="1"/>
    <w:qFormat/>
    <w:uiPriority w:val="0"/>
    <w:pPr>
      <w:ind w:left="1260" w:leftChars="600"/>
    </w:pPr>
    <w:rPr>
      <w:sz w:val="21"/>
    </w:rPr>
  </w:style>
  <w:style w:type="paragraph" w:styleId="62">
    <w:name w:val="index heading"/>
    <w:basedOn w:val="1"/>
    <w:next w:val="63"/>
    <w:qFormat/>
    <w:uiPriority w:val="0"/>
    <w:rPr>
      <w:rFonts w:ascii="Cambria" w:hAnsi="Cambria" w:cs="黑体"/>
      <w:b/>
      <w:bCs/>
      <w:sz w:val="21"/>
    </w:rPr>
  </w:style>
  <w:style w:type="paragraph" w:styleId="63">
    <w:name w:val="index 1"/>
    <w:basedOn w:val="1"/>
    <w:next w:val="1"/>
    <w:qFormat/>
    <w:uiPriority w:val="0"/>
    <w:rPr>
      <w:sz w:val="21"/>
    </w:rPr>
  </w:style>
  <w:style w:type="paragraph" w:styleId="64">
    <w:name w:val="Subtitle"/>
    <w:basedOn w:val="1"/>
    <w:next w:val="1"/>
    <w:link w:val="181"/>
    <w:qFormat/>
    <w:uiPriority w:val="0"/>
    <w:pPr>
      <w:spacing w:before="240" w:after="60" w:line="312" w:lineRule="auto"/>
      <w:jc w:val="center"/>
      <w:outlineLvl w:val="1"/>
    </w:pPr>
    <w:rPr>
      <w:rFonts w:ascii="Cambria" w:hAnsi="Cambria" w:cs="黑体"/>
      <w:b/>
      <w:bCs/>
      <w:kern w:val="28"/>
      <w:sz w:val="32"/>
      <w:szCs w:val="32"/>
    </w:rPr>
  </w:style>
  <w:style w:type="paragraph" w:styleId="65">
    <w:name w:val="List Number 5"/>
    <w:basedOn w:val="1"/>
    <w:qFormat/>
    <w:uiPriority w:val="0"/>
    <w:pPr>
      <w:numPr>
        <w:ilvl w:val="0"/>
        <w:numId w:val="10"/>
      </w:numPr>
      <w:contextualSpacing/>
    </w:pPr>
    <w:rPr>
      <w:sz w:val="21"/>
    </w:rPr>
  </w:style>
  <w:style w:type="paragraph" w:styleId="66">
    <w:name w:val="List"/>
    <w:basedOn w:val="1"/>
    <w:qFormat/>
    <w:uiPriority w:val="0"/>
    <w:pPr>
      <w:ind w:left="200" w:hanging="200" w:hangingChars="200"/>
      <w:contextualSpacing/>
    </w:pPr>
    <w:rPr>
      <w:sz w:val="21"/>
    </w:rPr>
  </w:style>
  <w:style w:type="paragraph" w:styleId="67">
    <w:name w:val="footnote text"/>
    <w:basedOn w:val="1"/>
    <w:link w:val="183"/>
    <w:qFormat/>
    <w:uiPriority w:val="0"/>
    <w:pPr>
      <w:snapToGrid w:val="0"/>
      <w:jc w:val="left"/>
    </w:pPr>
    <w:rPr>
      <w:sz w:val="18"/>
      <w:szCs w:val="18"/>
    </w:rPr>
  </w:style>
  <w:style w:type="paragraph" w:styleId="68">
    <w:name w:val="toc 6"/>
    <w:basedOn w:val="1"/>
    <w:next w:val="1"/>
    <w:qFormat/>
    <w:uiPriority w:val="0"/>
    <w:pPr>
      <w:ind w:left="2100" w:leftChars="1000"/>
    </w:pPr>
    <w:rPr>
      <w:sz w:val="21"/>
    </w:rPr>
  </w:style>
  <w:style w:type="paragraph" w:styleId="69">
    <w:name w:val="List 5"/>
    <w:basedOn w:val="1"/>
    <w:qFormat/>
    <w:uiPriority w:val="0"/>
    <w:pPr>
      <w:ind w:left="100" w:leftChars="800" w:hanging="200" w:hangingChars="200"/>
      <w:contextualSpacing/>
    </w:pPr>
    <w:rPr>
      <w:sz w:val="21"/>
    </w:rPr>
  </w:style>
  <w:style w:type="paragraph" w:styleId="70">
    <w:name w:val="Body Text Indent 3"/>
    <w:basedOn w:val="1"/>
    <w:link w:val="170"/>
    <w:qFormat/>
    <w:uiPriority w:val="0"/>
    <w:pPr>
      <w:spacing w:line="400" w:lineRule="exact"/>
      <w:ind w:firstLine="420"/>
    </w:pPr>
    <w:rPr>
      <w:rFonts w:ascii="宋体"/>
      <w:sz w:val="21"/>
      <w:szCs w:val="20"/>
    </w:rPr>
  </w:style>
  <w:style w:type="paragraph" w:styleId="71">
    <w:name w:val="index 7"/>
    <w:basedOn w:val="1"/>
    <w:next w:val="1"/>
    <w:qFormat/>
    <w:uiPriority w:val="0"/>
    <w:pPr>
      <w:ind w:left="1200" w:leftChars="1200"/>
    </w:pPr>
    <w:rPr>
      <w:sz w:val="21"/>
    </w:rPr>
  </w:style>
  <w:style w:type="paragraph" w:styleId="72">
    <w:name w:val="index 9"/>
    <w:basedOn w:val="1"/>
    <w:next w:val="1"/>
    <w:qFormat/>
    <w:uiPriority w:val="0"/>
    <w:pPr>
      <w:ind w:left="1600" w:leftChars="1600"/>
    </w:pPr>
    <w:rPr>
      <w:sz w:val="21"/>
    </w:rPr>
  </w:style>
  <w:style w:type="paragraph" w:styleId="73">
    <w:name w:val="table of figures"/>
    <w:basedOn w:val="1"/>
    <w:next w:val="1"/>
    <w:qFormat/>
    <w:uiPriority w:val="0"/>
    <w:pPr>
      <w:ind w:left="200" w:leftChars="200" w:hanging="200" w:hangingChars="200"/>
    </w:pPr>
    <w:rPr>
      <w:sz w:val="21"/>
    </w:rPr>
  </w:style>
  <w:style w:type="paragraph" w:styleId="74">
    <w:name w:val="toc 2"/>
    <w:basedOn w:val="1"/>
    <w:next w:val="1"/>
    <w:qFormat/>
    <w:uiPriority w:val="39"/>
    <w:pPr>
      <w:ind w:left="420" w:leftChars="200"/>
    </w:pPr>
    <w:rPr>
      <w:sz w:val="21"/>
    </w:rPr>
  </w:style>
  <w:style w:type="paragraph" w:styleId="75">
    <w:name w:val="toc 9"/>
    <w:basedOn w:val="1"/>
    <w:next w:val="1"/>
    <w:qFormat/>
    <w:uiPriority w:val="0"/>
    <w:pPr>
      <w:ind w:left="3360" w:leftChars="1600"/>
    </w:pPr>
    <w:rPr>
      <w:sz w:val="21"/>
    </w:rPr>
  </w:style>
  <w:style w:type="paragraph" w:styleId="76">
    <w:name w:val="Body Text 2"/>
    <w:basedOn w:val="1"/>
    <w:link w:val="165"/>
    <w:qFormat/>
    <w:uiPriority w:val="0"/>
    <w:pPr>
      <w:jc w:val="left"/>
    </w:pPr>
    <w:rPr>
      <w:rFonts w:ascii="宋体" w:hAnsi="宋体"/>
      <w:sz w:val="21"/>
    </w:rPr>
  </w:style>
  <w:style w:type="paragraph" w:styleId="77">
    <w:name w:val="List 4"/>
    <w:basedOn w:val="1"/>
    <w:qFormat/>
    <w:uiPriority w:val="0"/>
    <w:pPr>
      <w:ind w:left="100" w:leftChars="600" w:hanging="200" w:hangingChars="200"/>
      <w:contextualSpacing/>
    </w:pPr>
    <w:rPr>
      <w:sz w:val="21"/>
    </w:rPr>
  </w:style>
  <w:style w:type="paragraph" w:styleId="78">
    <w:name w:val="List Continue 2"/>
    <w:basedOn w:val="1"/>
    <w:qFormat/>
    <w:uiPriority w:val="0"/>
    <w:pPr>
      <w:spacing w:after="120"/>
      <w:ind w:left="840" w:leftChars="400"/>
      <w:contextualSpacing/>
    </w:pPr>
    <w:rPr>
      <w:sz w:val="21"/>
    </w:rPr>
  </w:style>
  <w:style w:type="paragraph" w:styleId="79">
    <w:name w:val="Message Header"/>
    <w:basedOn w:val="1"/>
    <w:link w:val="18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rPr>
  </w:style>
  <w:style w:type="paragraph" w:styleId="80">
    <w:name w:val="HTML Preformatted"/>
    <w:basedOn w:val="1"/>
    <w:link w:val="177"/>
    <w:qFormat/>
    <w:uiPriority w:val="0"/>
    <w:rPr>
      <w:rFonts w:ascii="Courier New" w:hAnsi="Courier New" w:cs="Courier New"/>
      <w:sz w:val="20"/>
      <w:szCs w:val="20"/>
    </w:rPr>
  </w:style>
  <w:style w:type="paragraph" w:styleId="81">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rPr>
  </w:style>
  <w:style w:type="paragraph" w:styleId="82">
    <w:name w:val="List Continue 3"/>
    <w:basedOn w:val="1"/>
    <w:qFormat/>
    <w:uiPriority w:val="0"/>
    <w:pPr>
      <w:spacing w:after="120"/>
      <w:ind w:left="1260" w:leftChars="600"/>
      <w:contextualSpacing/>
    </w:pPr>
    <w:rPr>
      <w:sz w:val="21"/>
    </w:rPr>
  </w:style>
  <w:style w:type="paragraph" w:styleId="83">
    <w:name w:val="index 2"/>
    <w:basedOn w:val="1"/>
    <w:next w:val="1"/>
    <w:qFormat/>
    <w:uiPriority w:val="0"/>
    <w:pPr>
      <w:ind w:left="200" w:leftChars="200"/>
    </w:pPr>
    <w:rPr>
      <w:sz w:val="21"/>
    </w:rPr>
  </w:style>
  <w:style w:type="paragraph" w:styleId="84">
    <w:name w:val="Title"/>
    <w:basedOn w:val="1"/>
    <w:next w:val="1"/>
    <w:link w:val="178"/>
    <w:qFormat/>
    <w:uiPriority w:val="0"/>
    <w:pPr>
      <w:spacing w:before="240" w:after="60"/>
      <w:jc w:val="center"/>
      <w:outlineLvl w:val="0"/>
    </w:pPr>
    <w:rPr>
      <w:rFonts w:ascii="Cambria" w:hAnsi="Cambria" w:cs="黑体"/>
      <w:b/>
      <w:bCs/>
      <w:sz w:val="32"/>
      <w:szCs w:val="32"/>
    </w:rPr>
  </w:style>
  <w:style w:type="paragraph" w:styleId="85">
    <w:name w:val="annotation subject"/>
    <w:basedOn w:val="28"/>
    <w:next w:val="28"/>
    <w:link w:val="173"/>
    <w:qFormat/>
    <w:uiPriority w:val="99"/>
    <w:rPr>
      <w:b/>
      <w:bCs/>
    </w:rPr>
  </w:style>
  <w:style w:type="paragraph" w:styleId="86">
    <w:name w:val="Body Text First Indent"/>
    <w:basedOn w:val="34"/>
    <w:link w:val="191"/>
    <w:qFormat/>
    <w:uiPriority w:val="0"/>
    <w:pPr>
      <w:widowControl w:val="0"/>
      <w:ind w:firstLine="420" w:firstLineChars="100"/>
      <w:jc w:val="both"/>
    </w:pPr>
    <w:rPr>
      <w:kern w:val="2"/>
      <w:sz w:val="21"/>
      <w:szCs w:val="24"/>
    </w:rPr>
  </w:style>
  <w:style w:type="paragraph" w:styleId="87">
    <w:name w:val="Body Text First Indent 2"/>
    <w:basedOn w:val="35"/>
    <w:link w:val="192"/>
    <w:qFormat/>
    <w:uiPriority w:val="0"/>
    <w:pPr>
      <w:spacing w:after="120"/>
      <w:ind w:left="420" w:leftChars="200" w:firstLine="420" w:firstLineChars="200"/>
    </w:pPr>
    <w:rPr>
      <w:sz w:val="21"/>
      <w:szCs w:val="24"/>
    </w:rPr>
  </w:style>
  <w:style w:type="table" w:styleId="89">
    <w:name w:val="Table Grid"/>
    <w:basedOn w:val="8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bCs/>
    </w:rPr>
  </w:style>
  <w:style w:type="character" w:styleId="92">
    <w:name w:val="endnote reference"/>
    <w:semiHidden/>
    <w:qFormat/>
    <w:uiPriority w:val="0"/>
    <w:rPr>
      <w:vertAlign w:val="superscript"/>
    </w:rPr>
  </w:style>
  <w:style w:type="character" w:styleId="93">
    <w:name w:val="page number"/>
    <w:basedOn w:val="90"/>
    <w:qFormat/>
    <w:uiPriority w:val="0"/>
  </w:style>
  <w:style w:type="character" w:styleId="94">
    <w:name w:val="FollowedHyperlink"/>
    <w:basedOn w:val="90"/>
    <w:unhideWhenUsed/>
    <w:qFormat/>
    <w:uiPriority w:val="99"/>
    <w:rPr>
      <w:color w:val="800080"/>
      <w:u w:val="single"/>
    </w:rPr>
  </w:style>
  <w:style w:type="character" w:styleId="95">
    <w:name w:val="Hyperlink"/>
    <w:qFormat/>
    <w:uiPriority w:val="99"/>
    <w:rPr>
      <w:rFonts w:ascii="??" w:hAnsi="??" w:cs="??"/>
      <w:color w:val="0000FF"/>
      <w:sz w:val="18"/>
      <w:szCs w:val="18"/>
      <w:u w:val="single"/>
    </w:rPr>
  </w:style>
  <w:style w:type="character" w:styleId="96">
    <w:name w:val="annotation reference"/>
    <w:qFormat/>
    <w:uiPriority w:val="0"/>
    <w:rPr>
      <w:sz w:val="21"/>
      <w:szCs w:val="21"/>
    </w:rPr>
  </w:style>
  <w:style w:type="paragraph" w:customStyle="1" w:styleId="97">
    <w:name w:val="修订1"/>
    <w:hidden/>
    <w:semiHidden/>
    <w:qFormat/>
    <w:uiPriority w:val="99"/>
    <w:rPr>
      <w:rFonts w:ascii="Times New Roman" w:hAnsi="Times New Roman" w:eastAsia="宋体" w:cs="Times New Roman"/>
      <w:szCs w:val="24"/>
      <w:lang w:val="en-US" w:eastAsia="zh-CN" w:bidi="ar-SA"/>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列表段落1"/>
    <w:basedOn w:val="1"/>
    <w:link w:val="201"/>
    <w:qFormat/>
    <w:uiPriority w:val="34"/>
    <w:pPr>
      <w:ind w:firstLine="420" w:firstLineChars="200"/>
    </w:pPr>
    <w:rPr>
      <w:sz w:val="21"/>
    </w:rPr>
  </w:style>
  <w:style w:type="paragraph" w:customStyle="1" w:styleId="100">
    <w:name w:val="TOC 标题1"/>
    <w:basedOn w:val="3"/>
    <w:next w:val="1"/>
    <w:semiHidden/>
    <w:unhideWhenUsed/>
    <w:qFormat/>
    <w:uiPriority w:val="39"/>
    <w:pPr>
      <w:outlineLvl w:val="9"/>
    </w:pPr>
  </w:style>
  <w:style w:type="paragraph" w:customStyle="1" w:styleId="101">
    <w:name w:val="明显引用1"/>
    <w:basedOn w:val="1"/>
    <w:next w:val="1"/>
    <w:link w:val="185"/>
    <w:qFormat/>
    <w:uiPriority w:val="30"/>
    <w:pPr>
      <w:pBdr>
        <w:bottom w:val="single" w:color="4F81BD" w:sz="4" w:space="4"/>
      </w:pBdr>
      <w:spacing w:before="200" w:after="280"/>
      <w:ind w:left="936" w:right="936"/>
    </w:pPr>
    <w:rPr>
      <w:b/>
      <w:bCs/>
      <w:i/>
      <w:iCs/>
      <w:color w:val="4F81BD"/>
      <w:sz w:val="21"/>
    </w:rPr>
  </w:style>
  <w:style w:type="paragraph" w:customStyle="1" w:styleId="102">
    <w:name w:val="书目1"/>
    <w:basedOn w:val="1"/>
    <w:next w:val="1"/>
    <w:semiHidden/>
    <w:unhideWhenUsed/>
    <w:qFormat/>
    <w:uiPriority w:val="37"/>
    <w:rPr>
      <w:sz w:val="21"/>
    </w:rPr>
  </w:style>
  <w:style w:type="paragraph" w:customStyle="1" w:styleId="10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引用1"/>
    <w:basedOn w:val="1"/>
    <w:next w:val="1"/>
    <w:link w:val="190"/>
    <w:qFormat/>
    <w:uiPriority w:val="29"/>
    <w:rPr>
      <w:i/>
      <w:iCs/>
      <w:color w:val="000000"/>
      <w:sz w:val="21"/>
    </w:rPr>
  </w:style>
  <w:style w:type="paragraph" w:customStyle="1" w:styleId="105">
    <w:name w:val="无间隔11"/>
    <w:link w:val="198"/>
    <w:qFormat/>
    <w:uiPriority w:val="0"/>
    <w:rPr>
      <w:rFonts w:ascii="Times New Roman" w:hAnsi="Times New Roman" w:eastAsia="宋体" w:cs="Calibri"/>
      <w:sz w:val="22"/>
      <w:lang w:val="en-US" w:eastAsia="zh-CN" w:bidi="ar-SA"/>
    </w:rPr>
  </w:style>
  <w:style w:type="paragraph" w:customStyle="1" w:styleId="106">
    <w:name w:val="text_2"/>
    <w:basedOn w:val="1"/>
    <w:qFormat/>
    <w:uiPriority w:val="0"/>
    <w:pPr>
      <w:widowControl/>
      <w:spacing w:before="75" w:after="75" w:line="360" w:lineRule="auto"/>
      <w:ind w:firstLine="360"/>
      <w:jc w:val="left"/>
    </w:pPr>
    <w:rPr>
      <w:rFonts w:ascii="宋体" w:hAnsi="宋体" w:cs="宋体"/>
      <w:b/>
      <w:bCs/>
      <w:color w:val="163900"/>
      <w:kern w:val="0"/>
      <w:sz w:val="18"/>
      <w:szCs w:val="18"/>
    </w:rPr>
  </w:style>
  <w:style w:type="paragraph" w:customStyle="1" w:styleId="107">
    <w:name w:val="text_5"/>
    <w:basedOn w:val="1"/>
    <w:qFormat/>
    <w:uiPriority w:val="0"/>
    <w:pPr>
      <w:widowControl/>
      <w:spacing w:before="75" w:after="75" w:line="360" w:lineRule="auto"/>
      <w:ind w:firstLine="360"/>
      <w:jc w:val="left"/>
    </w:pPr>
    <w:rPr>
      <w:rFonts w:ascii="宋体" w:hAnsi="宋体" w:cs="宋体"/>
      <w:color w:val="000000"/>
      <w:kern w:val="0"/>
      <w:sz w:val="18"/>
      <w:szCs w:val="18"/>
    </w:rPr>
  </w:style>
  <w:style w:type="paragraph" w:customStyle="1" w:styleId="108">
    <w:name w:val="title01"/>
    <w:basedOn w:val="1"/>
    <w:qFormat/>
    <w:uiPriority w:val="0"/>
    <w:pPr>
      <w:widowControl/>
      <w:spacing w:before="75" w:after="75" w:line="330" w:lineRule="atLeast"/>
      <w:ind w:firstLine="360"/>
      <w:jc w:val="left"/>
    </w:pPr>
    <w:rPr>
      <w:rFonts w:ascii="??" w:hAnsi="??" w:cs="??"/>
      <w:b/>
      <w:bCs/>
      <w:color w:val="1D477F"/>
      <w:kern w:val="0"/>
      <w:sz w:val="27"/>
      <w:szCs w:val="27"/>
    </w:rPr>
  </w:style>
  <w:style w:type="paragraph" w:customStyle="1" w:styleId="109">
    <w:name w:val="列出段落1"/>
    <w:basedOn w:val="1"/>
    <w:qFormat/>
    <w:uiPriority w:val="0"/>
    <w:pPr>
      <w:ind w:firstLine="420" w:firstLineChars="200"/>
    </w:pPr>
    <w:rPr>
      <w:rFonts w:ascii="Calibri" w:hAnsi="Calibri" w:cs="Calibri"/>
      <w:sz w:val="21"/>
      <w:szCs w:val="21"/>
    </w:rPr>
  </w:style>
  <w:style w:type="paragraph" w:customStyle="1" w:styleId="110">
    <w:name w:val="shadow"/>
    <w:basedOn w:val="1"/>
    <w:qFormat/>
    <w:uiPriority w:val="0"/>
    <w:pPr>
      <w:widowControl/>
      <w:spacing w:before="75" w:after="75" w:line="330" w:lineRule="atLeast"/>
      <w:ind w:firstLine="360"/>
      <w:jc w:val="left"/>
    </w:pPr>
    <w:rPr>
      <w:rFonts w:ascii="宋体" w:hAnsi="宋体" w:cs="宋体"/>
      <w:color w:val="000000"/>
      <w:kern w:val="0"/>
      <w:sz w:val="18"/>
      <w:szCs w:val="18"/>
    </w:rPr>
  </w:style>
  <w:style w:type="paragraph" w:customStyle="1" w:styleId="111">
    <w:name w:val="text"/>
    <w:basedOn w:val="1"/>
    <w:qFormat/>
    <w:uiPriority w:val="0"/>
    <w:pPr>
      <w:widowControl/>
      <w:spacing w:before="75" w:after="75" w:line="360" w:lineRule="auto"/>
      <w:ind w:firstLine="360"/>
      <w:jc w:val="left"/>
    </w:pPr>
    <w:rPr>
      <w:rFonts w:ascii="宋体" w:hAnsi="宋体" w:cs="宋体"/>
      <w:color w:val="A4A4A4"/>
      <w:kern w:val="0"/>
      <w:sz w:val="18"/>
      <w:szCs w:val="18"/>
    </w:rPr>
  </w:style>
  <w:style w:type="paragraph" w:customStyle="1" w:styleId="112">
    <w:name w:val="redonly"/>
    <w:basedOn w:val="1"/>
    <w:qFormat/>
    <w:uiPriority w:val="0"/>
    <w:pPr>
      <w:widowControl/>
      <w:spacing w:before="75" w:after="75" w:line="330" w:lineRule="atLeast"/>
      <w:ind w:firstLine="360"/>
      <w:jc w:val="left"/>
    </w:pPr>
    <w:rPr>
      <w:rFonts w:ascii="宋体" w:hAnsi="宋体" w:cs="宋体"/>
      <w:color w:val="FF0000"/>
      <w:kern w:val="0"/>
      <w:sz w:val="18"/>
      <w:szCs w:val="18"/>
    </w:rPr>
  </w:style>
  <w:style w:type="paragraph" w:customStyle="1" w:styleId="113">
    <w:name w:val="列出段落11"/>
    <w:qFormat/>
    <w:uiPriority w:val="34"/>
    <w:pPr>
      <w:widowControl w:val="0"/>
      <w:ind w:firstLine="420"/>
      <w:jc w:val="both"/>
    </w:pPr>
    <w:rPr>
      <w:rFonts w:ascii="Calibri" w:hAnsi="Calibri" w:eastAsia="宋体" w:cs="Calibri"/>
      <w:color w:val="000000"/>
      <w:szCs w:val="21"/>
      <w:lang w:val="en-US" w:eastAsia="zh-CN" w:bidi="ar-SA"/>
    </w:rPr>
  </w:style>
  <w:style w:type="paragraph" w:customStyle="1" w:styleId="114">
    <w:name w:val="myfont"/>
    <w:basedOn w:val="1"/>
    <w:qFormat/>
    <w:uiPriority w:val="0"/>
    <w:pPr>
      <w:widowControl/>
      <w:spacing w:before="75" w:after="75" w:line="300" w:lineRule="atLeast"/>
      <w:ind w:firstLine="360"/>
      <w:jc w:val="left"/>
    </w:pPr>
    <w:rPr>
      <w:rFonts w:ascii="宋体" w:hAnsi="宋体" w:cs="宋体"/>
      <w:color w:val="666666"/>
      <w:kern w:val="0"/>
      <w:sz w:val="18"/>
      <w:szCs w:val="18"/>
    </w:rPr>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s="Cambria"/>
      <w:color w:val="365F91"/>
      <w:kern w:val="0"/>
      <w:sz w:val="28"/>
      <w:szCs w:val="28"/>
    </w:rPr>
  </w:style>
  <w:style w:type="paragraph" w:customStyle="1" w:styleId="116">
    <w:name w:val="title02"/>
    <w:basedOn w:val="1"/>
    <w:qFormat/>
    <w:uiPriority w:val="0"/>
    <w:pPr>
      <w:widowControl/>
      <w:spacing w:before="75" w:after="75" w:line="330" w:lineRule="atLeast"/>
      <w:ind w:firstLine="360"/>
      <w:jc w:val="left"/>
    </w:pPr>
    <w:rPr>
      <w:rFonts w:ascii="宋体" w:hAnsi="宋体" w:cs="宋体"/>
      <w:color w:val="666666"/>
      <w:kern w:val="0"/>
      <w:sz w:val="18"/>
      <w:szCs w:val="18"/>
    </w:rPr>
  </w:style>
  <w:style w:type="paragraph" w:customStyle="1" w:styleId="117">
    <w:name w:val="text_3"/>
    <w:basedOn w:val="1"/>
    <w:qFormat/>
    <w:uiPriority w:val="0"/>
    <w:pPr>
      <w:widowControl/>
      <w:spacing w:before="75" w:after="75" w:line="360" w:lineRule="auto"/>
      <w:ind w:firstLine="360"/>
      <w:jc w:val="left"/>
    </w:pPr>
    <w:rPr>
      <w:rFonts w:ascii="宋体" w:hAnsi="宋体" w:cs="宋体"/>
      <w:b/>
      <w:bCs/>
      <w:color w:val="163900"/>
      <w:kern w:val="0"/>
    </w:rPr>
  </w:style>
  <w:style w:type="paragraph" w:customStyle="1" w:styleId="118">
    <w:name w:val="text_4"/>
    <w:basedOn w:val="1"/>
    <w:qFormat/>
    <w:uiPriority w:val="0"/>
    <w:pPr>
      <w:widowControl/>
      <w:spacing w:before="75" w:after="75" w:line="360" w:lineRule="auto"/>
      <w:ind w:firstLine="360"/>
      <w:jc w:val="left"/>
    </w:pPr>
    <w:rPr>
      <w:rFonts w:ascii="宋体" w:hAnsi="宋体" w:cs="宋体"/>
      <w:b/>
      <w:bCs/>
      <w:color w:val="163900"/>
      <w:kern w:val="0"/>
      <w:sz w:val="21"/>
      <w:szCs w:val="21"/>
    </w:rPr>
  </w:style>
  <w:style w:type="paragraph" w:customStyle="1" w:styleId="119">
    <w:name w:val="List Paragraph1"/>
    <w:qFormat/>
    <w:uiPriority w:val="0"/>
    <w:pPr>
      <w:widowControl w:val="0"/>
      <w:ind w:firstLine="420"/>
      <w:jc w:val="both"/>
    </w:pPr>
    <w:rPr>
      <w:rFonts w:ascii="Calibri" w:hAnsi="Calibri" w:eastAsia="宋体" w:cs="Calibri"/>
      <w:color w:val="000000"/>
      <w:szCs w:val="21"/>
      <w:lang w:val="en-US" w:eastAsia="zh-CN" w:bidi="ar-SA"/>
    </w:rPr>
  </w:style>
  <w:style w:type="paragraph" w:customStyle="1" w:styleId="120">
    <w:name w:val="text_1"/>
    <w:basedOn w:val="1"/>
    <w:qFormat/>
    <w:uiPriority w:val="0"/>
    <w:pPr>
      <w:widowControl/>
      <w:spacing w:before="75" w:after="75" w:line="360" w:lineRule="auto"/>
      <w:ind w:firstLine="360"/>
      <w:jc w:val="left"/>
    </w:pPr>
    <w:rPr>
      <w:rFonts w:ascii="宋体" w:hAnsi="宋体" w:cs="宋体"/>
      <w:b/>
      <w:bCs/>
      <w:color w:val="F1FBF0"/>
      <w:kern w:val="0"/>
      <w:sz w:val="18"/>
      <w:szCs w:val="18"/>
    </w:rPr>
  </w:style>
  <w:style w:type="paragraph" w:customStyle="1" w:styleId="121">
    <w:name w:val="样式1"/>
    <w:basedOn w:val="1"/>
    <w:qFormat/>
    <w:uiPriority w:val="0"/>
    <w:pPr>
      <w:tabs>
        <w:tab w:val="left" w:pos="709"/>
        <w:tab w:val="left" w:pos="840"/>
      </w:tabs>
      <w:ind w:left="840" w:hanging="360"/>
    </w:pPr>
    <w:rPr>
      <w:rFonts w:ascii="宋体" w:hAnsi="宋体"/>
      <w:sz w:val="21"/>
      <w:szCs w:val="21"/>
    </w:rPr>
  </w:style>
  <w:style w:type="paragraph" w:customStyle="1" w:styleId="122">
    <w:name w:val="表格"/>
    <w:basedOn w:val="1"/>
    <w:qFormat/>
    <w:uiPriority w:val="0"/>
    <w:pPr>
      <w:adjustRightInd w:val="0"/>
      <w:spacing w:before="40" w:after="40"/>
      <w:jc w:val="center"/>
    </w:pPr>
    <w:rPr>
      <w:rFonts w:hint="eastAsia" w:ascii="昆仑仿宋" w:eastAsia="昆仑仿宋"/>
      <w:kern w:val="0"/>
      <w:szCs w:val="20"/>
    </w:rPr>
  </w:style>
  <w:style w:type="paragraph" w:customStyle="1" w:styleId="1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4">
    <w:name w:val="xl64"/>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1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27">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28">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29">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rPr>
  </w:style>
  <w:style w:type="paragraph" w:customStyle="1" w:styleId="131">
    <w:name w:val="xl71"/>
    <w:basedOn w:val="1"/>
    <w:qFormat/>
    <w:uiPriority w:val="0"/>
    <w:pPr>
      <w:widowControl/>
      <w:spacing w:before="100" w:beforeAutospacing="1" w:after="100" w:afterAutospacing="1"/>
      <w:jc w:val="left"/>
      <w:textAlignment w:val="top"/>
    </w:pPr>
    <w:rPr>
      <w:rFonts w:ascii="宋体" w:hAnsi="宋体" w:cs="宋体"/>
      <w:color w:val="000000"/>
      <w:kern w:val="0"/>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rPr>
  </w:style>
  <w:style w:type="paragraph" w:customStyle="1" w:styleId="1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rPr>
  </w:style>
  <w:style w:type="paragraph" w:customStyle="1" w:styleId="1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35">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rPr>
  </w:style>
  <w:style w:type="paragraph" w:customStyle="1" w:styleId="136">
    <w:name w:val="xl76"/>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rPr>
  </w:style>
  <w:style w:type="paragraph" w:customStyle="1" w:styleId="137">
    <w:name w:val="xl77"/>
    <w:basedOn w:val="1"/>
    <w:qFormat/>
    <w:uiPriority w:val="0"/>
    <w:pPr>
      <w:widowControl/>
      <w:spacing w:before="100" w:beforeAutospacing="1" w:after="100" w:afterAutospacing="1"/>
      <w:jc w:val="center"/>
    </w:pPr>
    <w:rPr>
      <w:rFonts w:ascii="宋体" w:hAnsi="宋体" w:cs="宋体"/>
      <w:kern w:val="0"/>
    </w:rPr>
  </w:style>
  <w:style w:type="paragraph" w:customStyle="1" w:styleId="13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3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2">
    <w:name w:val="xl8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kern w:val="0"/>
    </w:rPr>
  </w:style>
  <w:style w:type="paragraph" w:customStyle="1" w:styleId="143">
    <w:name w:val="xl8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rPr>
  </w:style>
  <w:style w:type="paragraph" w:customStyle="1" w:styleId="14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45">
    <w:name w:val="xl85"/>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4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4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48">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4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50">
    <w:name w:val="xl90"/>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51">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152">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153">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character" w:customStyle="1" w:styleId="154">
    <w:name w:val="标题 1 字符"/>
    <w:basedOn w:val="90"/>
    <w:link w:val="3"/>
    <w:qFormat/>
    <w:uiPriority w:val="9"/>
    <w:rPr>
      <w:rFonts w:ascii="Times New Roman" w:hAnsi="Times New Roman" w:eastAsia="宋体" w:cs="Times New Roman"/>
      <w:b/>
      <w:bCs/>
      <w:kern w:val="44"/>
      <w:sz w:val="44"/>
      <w:szCs w:val="44"/>
    </w:rPr>
  </w:style>
  <w:style w:type="character" w:customStyle="1" w:styleId="155">
    <w:name w:val="标题 2 字符"/>
    <w:basedOn w:val="90"/>
    <w:link w:val="4"/>
    <w:qFormat/>
    <w:uiPriority w:val="0"/>
    <w:rPr>
      <w:rFonts w:ascii="Cambria" w:hAnsi="Cambria" w:eastAsia="宋体" w:cs="黑体"/>
      <w:b/>
      <w:bCs/>
      <w:sz w:val="32"/>
      <w:szCs w:val="32"/>
    </w:rPr>
  </w:style>
  <w:style w:type="character" w:customStyle="1" w:styleId="156">
    <w:name w:val="标题 3 字符"/>
    <w:basedOn w:val="90"/>
    <w:link w:val="5"/>
    <w:qFormat/>
    <w:uiPriority w:val="0"/>
    <w:rPr>
      <w:rFonts w:ascii="Times New Roman" w:hAnsi="Times New Roman" w:eastAsia="宋体" w:cs="Times New Roman"/>
      <w:b/>
      <w:bCs/>
      <w:sz w:val="32"/>
      <w:szCs w:val="32"/>
    </w:rPr>
  </w:style>
  <w:style w:type="character" w:customStyle="1" w:styleId="157">
    <w:name w:val="标题 4 字符"/>
    <w:basedOn w:val="90"/>
    <w:link w:val="6"/>
    <w:qFormat/>
    <w:uiPriority w:val="0"/>
    <w:rPr>
      <w:rFonts w:ascii="Cambria" w:hAnsi="Cambria" w:eastAsia="宋体" w:cs="黑体"/>
      <w:b/>
      <w:bCs/>
      <w:sz w:val="28"/>
      <w:szCs w:val="28"/>
    </w:rPr>
  </w:style>
  <w:style w:type="character" w:customStyle="1" w:styleId="158">
    <w:name w:val="标题 5 字符"/>
    <w:basedOn w:val="90"/>
    <w:link w:val="7"/>
    <w:qFormat/>
    <w:uiPriority w:val="0"/>
    <w:rPr>
      <w:rFonts w:ascii="Times New Roman" w:hAnsi="Times New Roman" w:eastAsia="宋体" w:cs="Times New Roman"/>
      <w:b/>
      <w:bCs/>
      <w:sz w:val="28"/>
      <w:szCs w:val="28"/>
    </w:rPr>
  </w:style>
  <w:style w:type="character" w:customStyle="1" w:styleId="159">
    <w:name w:val="标题 6 字符"/>
    <w:basedOn w:val="90"/>
    <w:link w:val="8"/>
    <w:semiHidden/>
    <w:qFormat/>
    <w:uiPriority w:val="0"/>
    <w:rPr>
      <w:rFonts w:ascii="Cambria" w:hAnsi="Cambria" w:eastAsia="宋体" w:cs="黑体"/>
      <w:b/>
      <w:bCs/>
      <w:sz w:val="24"/>
      <w:szCs w:val="24"/>
    </w:rPr>
  </w:style>
  <w:style w:type="character" w:customStyle="1" w:styleId="160">
    <w:name w:val="标题 7 字符"/>
    <w:basedOn w:val="90"/>
    <w:link w:val="9"/>
    <w:semiHidden/>
    <w:qFormat/>
    <w:uiPriority w:val="0"/>
    <w:rPr>
      <w:rFonts w:ascii="Times New Roman" w:hAnsi="Times New Roman" w:eastAsia="宋体" w:cs="Times New Roman"/>
      <w:b/>
      <w:bCs/>
      <w:sz w:val="24"/>
      <w:szCs w:val="24"/>
    </w:rPr>
  </w:style>
  <w:style w:type="character" w:customStyle="1" w:styleId="161">
    <w:name w:val="标题 8 字符"/>
    <w:basedOn w:val="90"/>
    <w:link w:val="10"/>
    <w:semiHidden/>
    <w:qFormat/>
    <w:uiPriority w:val="0"/>
    <w:rPr>
      <w:rFonts w:ascii="Cambria" w:hAnsi="Cambria" w:eastAsia="宋体" w:cs="黑体"/>
      <w:sz w:val="24"/>
      <w:szCs w:val="24"/>
    </w:rPr>
  </w:style>
  <w:style w:type="character" w:customStyle="1" w:styleId="162">
    <w:name w:val="标题 9 字符"/>
    <w:basedOn w:val="90"/>
    <w:link w:val="11"/>
    <w:semiHidden/>
    <w:qFormat/>
    <w:uiPriority w:val="0"/>
    <w:rPr>
      <w:rFonts w:ascii="Cambria" w:hAnsi="Cambria" w:eastAsia="宋体" w:cs="黑体"/>
      <w:szCs w:val="21"/>
    </w:rPr>
  </w:style>
  <w:style w:type="character" w:customStyle="1" w:styleId="163">
    <w:name w:val="页脚 字符"/>
    <w:basedOn w:val="90"/>
    <w:link w:val="55"/>
    <w:qFormat/>
    <w:uiPriority w:val="99"/>
    <w:rPr>
      <w:rFonts w:ascii="Times New Roman" w:hAnsi="Times New Roman" w:eastAsia="宋体" w:cs="Times New Roman"/>
      <w:sz w:val="18"/>
      <w:szCs w:val="18"/>
    </w:rPr>
  </w:style>
  <w:style w:type="character" w:customStyle="1" w:styleId="164">
    <w:name w:val="正文文本 字符"/>
    <w:basedOn w:val="90"/>
    <w:link w:val="34"/>
    <w:qFormat/>
    <w:uiPriority w:val="0"/>
    <w:rPr>
      <w:rFonts w:ascii="Times New Roman" w:hAnsi="Times New Roman" w:eastAsia="宋体" w:cs="Times New Roman"/>
      <w:kern w:val="0"/>
      <w:sz w:val="24"/>
      <w:szCs w:val="20"/>
    </w:rPr>
  </w:style>
  <w:style w:type="character" w:customStyle="1" w:styleId="165">
    <w:name w:val="正文文本 2 字符"/>
    <w:basedOn w:val="90"/>
    <w:link w:val="76"/>
    <w:qFormat/>
    <w:uiPriority w:val="0"/>
    <w:rPr>
      <w:rFonts w:ascii="宋体" w:hAnsi="宋体" w:eastAsia="宋体" w:cs="Times New Roman"/>
      <w:szCs w:val="24"/>
    </w:rPr>
  </w:style>
  <w:style w:type="character" w:customStyle="1" w:styleId="166">
    <w:name w:val="页眉 字符"/>
    <w:basedOn w:val="90"/>
    <w:link w:val="57"/>
    <w:qFormat/>
    <w:uiPriority w:val="99"/>
    <w:rPr>
      <w:rFonts w:ascii="Times New Roman" w:hAnsi="Times New Roman" w:eastAsia="宋体" w:cs="Times New Roman"/>
      <w:sz w:val="18"/>
      <w:szCs w:val="18"/>
    </w:rPr>
  </w:style>
  <w:style w:type="character" w:customStyle="1" w:styleId="167">
    <w:name w:val="纯文本 字符"/>
    <w:basedOn w:val="90"/>
    <w:link w:val="45"/>
    <w:qFormat/>
    <w:uiPriority w:val="99"/>
    <w:rPr>
      <w:rFonts w:ascii="宋体" w:hAnsi="Courier New" w:eastAsia="宋体" w:cs="Times New Roman"/>
      <w:szCs w:val="20"/>
    </w:rPr>
  </w:style>
  <w:style w:type="character" w:customStyle="1" w:styleId="168">
    <w:name w:val="正文文本缩进 字符"/>
    <w:basedOn w:val="90"/>
    <w:link w:val="35"/>
    <w:qFormat/>
    <w:uiPriority w:val="0"/>
    <w:rPr>
      <w:rFonts w:ascii="Times New Roman" w:hAnsi="Times New Roman" w:eastAsia="宋体" w:cs="Times New Roman"/>
      <w:sz w:val="18"/>
      <w:szCs w:val="20"/>
    </w:rPr>
  </w:style>
  <w:style w:type="character" w:customStyle="1" w:styleId="169">
    <w:name w:val="正文文本缩进 2 字符"/>
    <w:basedOn w:val="90"/>
    <w:link w:val="51"/>
    <w:qFormat/>
    <w:uiPriority w:val="0"/>
    <w:rPr>
      <w:rFonts w:ascii="宋体" w:hAnsi="Times New Roman" w:eastAsia="宋体" w:cs="Times New Roman"/>
      <w:color w:val="FF0000"/>
      <w:sz w:val="30"/>
      <w:szCs w:val="20"/>
    </w:rPr>
  </w:style>
  <w:style w:type="character" w:customStyle="1" w:styleId="170">
    <w:name w:val="正文文本缩进 3 字符"/>
    <w:basedOn w:val="90"/>
    <w:link w:val="70"/>
    <w:qFormat/>
    <w:uiPriority w:val="0"/>
    <w:rPr>
      <w:rFonts w:ascii="宋体" w:hAnsi="Times New Roman" w:eastAsia="宋体" w:cs="Times New Roman"/>
      <w:szCs w:val="20"/>
    </w:rPr>
  </w:style>
  <w:style w:type="character" w:customStyle="1" w:styleId="171">
    <w:name w:val="批注框文本 字符"/>
    <w:basedOn w:val="90"/>
    <w:link w:val="54"/>
    <w:qFormat/>
    <w:uiPriority w:val="99"/>
    <w:rPr>
      <w:rFonts w:ascii="Times New Roman" w:hAnsi="Times New Roman" w:eastAsia="宋体" w:cs="Times New Roman"/>
      <w:sz w:val="18"/>
      <w:szCs w:val="18"/>
    </w:rPr>
  </w:style>
  <w:style w:type="character" w:customStyle="1" w:styleId="172">
    <w:name w:val="批注文字 字符"/>
    <w:basedOn w:val="90"/>
    <w:link w:val="28"/>
    <w:qFormat/>
    <w:uiPriority w:val="0"/>
    <w:rPr>
      <w:rFonts w:ascii="Times New Roman" w:hAnsi="Times New Roman" w:eastAsia="宋体" w:cs="Times New Roman"/>
      <w:szCs w:val="24"/>
    </w:rPr>
  </w:style>
  <w:style w:type="character" w:customStyle="1" w:styleId="173">
    <w:name w:val="批注主题 字符"/>
    <w:basedOn w:val="172"/>
    <w:link w:val="85"/>
    <w:qFormat/>
    <w:uiPriority w:val="99"/>
    <w:rPr>
      <w:rFonts w:ascii="Times New Roman" w:hAnsi="Times New Roman" w:eastAsia="宋体" w:cs="Times New Roman"/>
      <w:b/>
      <w:bCs/>
      <w:szCs w:val="24"/>
    </w:rPr>
  </w:style>
  <w:style w:type="character" w:customStyle="1" w:styleId="174">
    <w:name w:val="尾注文本 字符"/>
    <w:basedOn w:val="90"/>
    <w:link w:val="52"/>
    <w:semiHidden/>
    <w:qFormat/>
    <w:uiPriority w:val="0"/>
    <w:rPr>
      <w:rFonts w:ascii="Times New Roman" w:hAnsi="Times New Roman" w:eastAsia="宋体" w:cs="Times New Roman"/>
      <w:szCs w:val="24"/>
    </w:rPr>
  </w:style>
  <w:style w:type="character" w:customStyle="1" w:styleId="175">
    <w:name w:val="tf1"/>
    <w:qFormat/>
    <w:uiPriority w:val="0"/>
    <w:rPr>
      <w:spacing w:val="300"/>
      <w:sz w:val="18"/>
      <w:szCs w:val="18"/>
    </w:rPr>
  </w:style>
  <w:style w:type="character" w:customStyle="1" w:styleId="176">
    <w:name w:val="HTML 地址 字符"/>
    <w:basedOn w:val="90"/>
    <w:link w:val="41"/>
    <w:qFormat/>
    <w:uiPriority w:val="0"/>
    <w:rPr>
      <w:rFonts w:ascii="Times New Roman" w:hAnsi="Times New Roman" w:eastAsia="宋体" w:cs="Times New Roman"/>
      <w:i/>
      <w:iCs/>
      <w:szCs w:val="24"/>
    </w:rPr>
  </w:style>
  <w:style w:type="character" w:customStyle="1" w:styleId="177">
    <w:name w:val="HTML 预设格式 字符"/>
    <w:basedOn w:val="90"/>
    <w:link w:val="80"/>
    <w:qFormat/>
    <w:uiPriority w:val="0"/>
    <w:rPr>
      <w:rFonts w:ascii="Courier New" w:hAnsi="Courier New" w:eastAsia="宋体" w:cs="Courier New"/>
      <w:sz w:val="20"/>
      <w:szCs w:val="20"/>
    </w:rPr>
  </w:style>
  <w:style w:type="character" w:customStyle="1" w:styleId="178">
    <w:name w:val="标题 字符"/>
    <w:basedOn w:val="90"/>
    <w:link w:val="84"/>
    <w:qFormat/>
    <w:uiPriority w:val="0"/>
    <w:rPr>
      <w:rFonts w:ascii="Cambria" w:hAnsi="Cambria" w:eastAsia="宋体" w:cs="黑体"/>
      <w:b/>
      <w:bCs/>
      <w:sz w:val="32"/>
      <w:szCs w:val="32"/>
    </w:rPr>
  </w:style>
  <w:style w:type="character" w:customStyle="1" w:styleId="179">
    <w:name w:val="称呼 字符"/>
    <w:basedOn w:val="90"/>
    <w:link w:val="30"/>
    <w:qFormat/>
    <w:uiPriority w:val="0"/>
    <w:rPr>
      <w:rFonts w:ascii="Times New Roman" w:hAnsi="Times New Roman" w:eastAsia="宋体" w:cs="Times New Roman"/>
      <w:szCs w:val="24"/>
    </w:rPr>
  </w:style>
  <w:style w:type="character" w:customStyle="1" w:styleId="180">
    <w:name w:val="电子邮件签名 字符"/>
    <w:basedOn w:val="90"/>
    <w:link w:val="19"/>
    <w:qFormat/>
    <w:uiPriority w:val="0"/>
    <w:rPr>
      <w:rFonts w:ascii="Times New Roman" w:hAnsi="Times New Roman" w:eastAsia="宋体" w:cs="Times New Roman"/>
      <w:szCs w:val="24"/>
    </w:rPr>
  </w:style>
  <w:style w:type="character" w:customStyle="1" w:styleId="181">
    <w:name w:val="副标题 字符"/>
    <w:basedOn w:val="90"/>
    <w:link w:val="64"/>
    <w:qFormat/>
    <w:uiPriority w:val="0"/>
    <w:rPr>
      <w:rFonts w:ascii="Cambria" w:hAnsi="Cambria" w:eastAsia="宋体" w:cs="黑体"/>
      <w:b/>
      <w:bCs/>
      <w:kern w:val="28"/>
      <w:sz w:val="32"/>
      <w:szCs w:val="32"/>
    </w:rPr>
  </w:style>
  <w:style w:type="character" w:customStyle="1" w:styleId="182">
    <w:name w:val="宏文本 字符"/>
    <w:basedOn w:val="90"/>
    <w:link w:val="2"/>
    <w:qFormat/>
    <w:uiPriority w:val="0"/>
    <w:rPr>
      <w:rFonts w:ascii="Courier New" w:hAnsi="Courier New" w:eastAsia="宋体" w:cs="Courier New"/>
      <w:sz w:val="24"/>
      <w:szCs w:val="24"/>
    </w:rPr>
  </w:style>
  <w:style w:type="character" w:customStyle="1" w:styleId="183">
    <w:name w:val="脚注文本 字符"/>
    <w:basedOn w:val="90"/>
    <w:link w:val="67"/>
    <w:qFormat/>
    <w:uiPriority w:val="0"/>
    <w:rPr>
      <w:rFonts w:ascii="Times New Roman" w:hAnsi="Times New Roman" w:eastAsia="宋体" w:cs="Times New Roman"/>
      <w:sz w:val="18"/>
      <w:szCs w:val="18"/>
    </w:rPr>
  </w:style>
  <w:style w:type="character" w:customStyle="1" w:styleId="184">
    <w:name w:val="结束语 字符"/>
    <w:basedOn w:val="90"/>
    <w:link w:val="32"/>
    <w:qFormat/>
    <w:uiPriority w:val="0"/>
    <w:rPr>
      <w:rFonts w:ascii="Times New Roman" w:hAnsi="Times New Roman" w:eastAsia="宋体" w:cs="Times New Roman"/>
      <w:szCs w:val="24"/>
    </w:rPr>
  </w:style>
  <w:style w:type="character" w:customStyle="1" w:styleId="185">
    <w:name w:val="明显引用 字符"/>
    <w:basedOn w:val="90"/>
    <w:link w:val="101"/>
    <w:qFormat/>
    <w:uiPriority w:val="30"/>
    <w:rPr>
      <w:rFonts w:ascii="Times New Roman" w:hAnsi="Times New Roman" w:eastAsia="宋体" w:cs="Times New Roman"/>
      <w:b/>
      <w:bCs/>
      <w:i/>
      <w:iCs/>
      <w:color w:val="4F81BD"/>
      <w:szCs w:val="24"/>
    </w:rPr>
  </w:style>
  <w:style w:type="character" w:customStyle="1" w:styleId="186">
    <w:name w:val="签名 字符"/>
    <w:basedOn w:val="90"/>
    <w:link w:val="58"/>
    <w:qFormat/>
    <w:uiPriority w:val="0"/>
    <w:rPr>
      <w:rFonts w:ascii="Times New Roman" w:hAnsi="Times New Roman" w:eastAsia="宋体" w:cs="Times New Roman"/>
      <w:szCs w:val="24"/>
    </w:rPr>
  </w:style>
  <w:style w:type="character" w:customStyle="1" w:styleId="187">
    <w:name w:val="日期 字符"/>
    <w:basedOn w:val="90"/>
    <w:link w:val="50"/>
    <w:qFormat/>
    <w:uiPriority w:val="99"/>
    <w:rPr>
      <w:rFonts w:ascii="Times New Roman" w:hAnsi="Times New Roman" w:eastAsia="宋体" w:cs="Times New Roman"/>
      <w:szCs w:val="24"/>
    </w:rPr>
  </w:style>
  <w:style w:type="character" w:customStyle="1" w:styleId="188">
    <w:name w:val="文档结构图 字符"/>
    <w:basedOn w:val="90"/>
    <w:link w:val="26"/>
    <w:qFormat/>
    <w:uiPriority w:val="0"/>
    <w:rPr>
      <w:rFonts w:ascii="宋体" w:hAnsi="Times New Roman" w:eastAsia="宋体" w:cs="Times New Roman"/>
      <w:sz w:val="18"/>
      <w:szCs w:val="18"/>
    </w:rPr>
  </w:style>
  <w:style w:type="character" w:customStyle="1" w:styleId="189">
    <w:name w:val="信息标题 字符"/>
    <w:basedOn w:val="90"/>
    <w:link w:val="79"/>
    <w:qFormat/>
    <w:uiPriority w:val="0"/>
    <w:rPr>
      <w:rFonts w:ascii="Cambria" w:hAnsi="Cambria" w:eastAsia="宋体" w:cs="黑体"/>
      <w:sz w:val="24"/>
      <w:szCs w:val="24"/>
      <w:shd w:val="pct20" w:color="auto" w:fill="auto"/>
    </w:rPr>
  </w:style>
  <w:style w:type="character" w:customStyle="1" w:styleId="190">
    <w:name w:val="引用 字符"/>
    <w:basedOn w:val="90"/>
    <w:link w:val="104"/>
    <w:qFormat/>
    <w:uiPriority w:val="29"/>
    <w:rPr>
      <w:rFonts w:ascii="Times New Roman" w:hAnsi="Times New Roman" w:eastAsia="宋体" w:cs="Times New Roman"/>
      <w:i/>
      <w:iCs/>
      <w:color w:val="000000"/>
      <w:szCs w:val="24"/>
    </w:rPr>
  </w:style>
  <w:style w:type="character" w:customStyle="1" w:styleId="191">
    <w:name w:val="正文文本首行缩进 字符"/>
    <w:basedOn w:val="164"/>
    <w:link w:val="86"/>
    <w:qFormat/>
    <w:uiPriority w:val="0"/>
    <w:rPr>
      <w:rFonts w:ascii="Times New Roman" w:hAnsi="Times New Roman" w:eastAsia="宋体" w:cs="Times New Roman"/>
      <w:kern w:val="0"/>
      <w:sz w:val="24"/>
      <w:szCs w:val="24"/>
    </w:rPr>
  </w:style>
  <w:style w:type="character" w:customStyle="1" w:styleId="192">
    <w:name w:val="正文文本首行缩进 2 字符"/>
    <w:basedOn w:val="168"/>
    <w:link w:val="87"/>
    <w:qFormat/>
    <w:uiPriority w:val="0"/>
    <w:rPr>
      <w:rFonts w:ascii="Times New Roman" w:hAnsi="Times New Roman" w:eastAsia="宋体" w:cs="Times New Roman"/>
      <w:sz w:val="18"/>
      <w:szCs w:val="24"/>
    </w:rPr>
  </w:style>
  <w:style w:type="character" w:customStyle="1" w:styleId="193">
    <w:name w:val="正文文本 3 字符"/>
    <w:basedOn w:val="90"/>
    <w:link w:val="31"/>
    <w:qFormat/>
    <w:uiPriority w:val="0"/>
    <w:rPr>
      <w:rFonts w:ascii="Times New Roman" w:hAnsi="Times New Roman" w:eastAsia="宋体" w:cs="Times New Roman"/>
      <w:sz w:val="16"/>
      <w:szCs w:val="16"/>
    </w:rPr>
  </w:style>
  <w:style w:type="character" w:customStyle="1" w:styleId="194">
    <w:name w:val="注释标题 字符"/>
    <w:basedOn w:val="90"/>
    <w:link w:val="16"/>
    <w:qFormat/>
    <w:uiPriority w:val="0"/>
    <w:rPr>
      <w:rFonts w:ascii="Times New Roman" w:hAnsi="Times New Roman" w:eastAsia="宋体" w:cs="Times New Roman"/>
      <w:szCs w:val="24"/>
    </w:rPr>
  </w:style>
  <w:style w:type="character" w:customStyle="1" w:styleId="195">
    <w:name w:val="skinobject1"/>
    <w:qFormat/>
    <w:uiPriority w:val="0"/>
    <w:rPr>
      <w:rFonts w:hint="default" w:ascii="Tahoma" w:hAnsi="Tahoma" w:cs="Tahoma"/>
      <w:color w:val="356786"/>
      <w:sz w:val="18"/>
      <w:szCs w:val="18"/>
      <w:u w:val="none"/>
    </w:rPr>
  </w:style>
  <w:style w:type="character" w:customStyle="1" w:styleId="196">
    <w:name w:val="text_41"/>
    <w:qFormat/>
    <w:uiPriority w:val="0"/>
    <w:rPr>
      <w:b/>
      <w:bCs/>
      <w:color w:val="163900"/>
      <w:sz w:val="21"/>
      <w:szCs w:val="21"/>
    </w:rPr>
  </w:style>
  <w:style w:type="character" w:customStyle="1" w:styleId="197">
    <w:name w:val="text_51"/>
    <w:qFormat/>
    <w:uiPriority w:val="0"/>
    <w:rPr>
      <w:color w:val="000000"/>
      <w:sz w:val="18"/>
      <w:szCs w:val="18"/>
    </w:rPr>
  </w:style>
  <w:style w:type="character" w:customStyle="1" w:styleId="198">
    <w:name w:val="No Spacing Char"/>
    <w:link w:val="105"/>
    <w:qFormat/>
    <w:uiPriority w:val="0"/>
    <w:rPr>
      <w:rFonts w:ascii="Calibri" w:hAnsi="Calibri" w:eastAsia="宋体" w:cs="Calibri"/>
      <w:kern w:val="2"/>
      <w:sz w:val="22"/>
      <w:szCs w:val="22"/>
      <w:lang w:val="en-US" w:eastAsia="zh-CN" w:bidi="ar-SA"/>
    </w:rPr>
  </w:style>
  <w:style w:type="character" w:customStyle="1" w:styleId="199">
    <w:name w:val="Char Char5"/>
    <w:qFormat/>
    <w:uiPriority w:val="0"/>
    <w:rPr>
      <w:sz w:val="18"/>
      <w:szCs w:val="18"/>
    </w:rPr>
  </w:style>
  <w:style w:type="character" w:customStyle="1" w:styleId="200">
    <w:name w:val="text_21"/>
    <w:qFormat/>
    <w:uiPriority w:val="0"/>
    <w:rPr>
      <w:b/>
      <w:bCs/>
      <w:color w:val="163900"/>
      <w:sz w:val="18"/>
      <w:szCs w:val="18"/>
    </w:rPr>
  </w:style>
  <w:style w:type="character" w:customStyle="1" w:styleId="201">
    <w:name w:val="列表段落 字符"/>
    <w:link w:val="99"/>
    <w:qFormat/>
    <w:uiPriority w:val="34"/>
    <w:rPr>
      <w:rFonts w:ascii="Times New Roman" w:hAnsi="Times New Roman" w:eastAsia="宋体" w:cs="Times New Roman"/>
      <w:szCs w:val="24"/>
    </w:rPr>
  </w:style>
  <w:style w:type="character" w:customStyle="1" w:styleId="202">
    <w:name w:val="wmejpqm2az9qma"/>
    <w:qFormat/>
    <w:uiPriority w:val="0"/>
  </w:style>
  <w:style w:type="character" w:customStyle="1" w:styleId="203">
    <w:name w:val="wmijnam2azlqnqdj"/>
    <w:qFormat/>
    <w:uiPriority w:val="0"/>
  </w:style>
  <w:style w:type="character" w:customStyle="1" w:styleId="204">
    <w:name w:val="wmejpqm1az1qmg"/>
    <w:qFormat/>
    <w:uiPriority w:val="0"/>
  </w:style>
  <w:style w:type="character" w:customStyle="1" w:styleId="205">
    <w:name w:val="wmejpqm2az9qna"/>
    <w:qFormat/>
    <w:uiPriority w:val="0"/>
  </w:style>
  <w:style w:type="character" w:customStyle="1" w:styleId="206">
    <w:name w:val="wmejpqm2az5qng"/>
    <w:qFormat/>
    <w:uiPriority w:val="0"/>
  </w:style>
  <w:style w:type="character" w:customStyle="1" w:styleId="207">
    <w:name w:val="wmejpqm1aztqng"/>
    <w:qFormat/>
    <w:uiPriority w:val="0"/>
  </w:style>
  <w:style w:type="character" w:customStyle="1" w:styleId="208">
    <w:name w:val="wmejpqm1azhqng"/>
    <w:qFormat/>
    <w:uiPriority w:val="0"/>
  </w:style>
  <w:style w:type="character" w:customStyle="1" w:styleId="209">
    <w:name w:val="wmejpqm1azxqmg"/>
    <w:qFormat/>
    <w:uiPriority w:val="0"/>
  </w:style>
  <w:style w:type="character" w:customStyle="1" w:styleId="210">
    <w:name w:val="wmijmwm1aztqmgdh"/>
    <w:qFormat/>
    <w:uiPriority w:val="0"/>
  </w:style>
  <w:style w:type="character" w:customStyle="1" w:styleId="211">
    <w:name w:val="wmejpqm2az9qng"/>
    <w:qFormat/>
    <w:uiPriority w:val="0"/>
  </w:style>
  <w:style w:type="character" w:customStyle="1" w:styleId="212">
    <w:name w:val="wmejpqm1aztqmg"/>
    <w:qFormat/>
    <w:uiPriority w:val="0"/>
  </w:style>
  <w:style w:type="character" w:customStyle="1" w:styleId="213">
    <w:name w:val="wmejpqm1azzqoa"/>
    <w:qFormat/>
    <w:uiPriority w:val="0"/>
  </w:style>
  <w:style w:type="character" w:customStyle="1" w:styleId="214">
    <w:name w:val="wmejpqm1azlqna"/>
    <w:qFormat/>
    <w:uiPriority w:val="0"/>
  </w:style>
  <w:style w:type="character" w:customStyle="1" w:styleId="215">
    <w:name w:val="wmcjnqmyaz5qna"/>
    <w:qFormat/>
    <w:uiPriority w:val="0"/>
  </w:style>
  <w:style w:type="character" w:customStyle="1" w:styleId="216">
    <w:name w:val="wmijmwmwaz1qngdv"/>
    <w:qFormat/>
    <w:uiPriority w:val="0"/>
  </w:style>
  <w:style w:type="character" w:customStyle="1" w:styleId="217">
    <w:name w:val="wmijnqm9azpqmqdv"/>
    <w:qFormat/>
    <w:uiPriority w:val="0"/>
  </w:style>
  <w:style w:type="character" w:customStyle="1" w:styleId="218">
    <w:name w:val="wmejpqm1azpqna"/>
    <w:qFormat/>
    <w:uiPriority w:val="0"/>
  </w:style>
  <w:style w:type="character" w:customStyle="1" w:styleId="219">
    <w:name w:val="apple-converted-space"/>
    <w:qFormat/>
    <w:uiPriority w:val="0"/>
  </w:style>
  <w:style w:type="paragraph" w:styleId="220">
    <w:name w:val="List Paragraph"/>
    <w:basedOn w:val="1"/>
    <w:qFormat/>
    <w:uiPriority w:val="34"/>
    <w:pPr>
      <w:ind w:firstLine="420" w:firstLineChars="200"/>
    </w:pPr>
  </w:style>
  <w:style w:type="paragraph" w:customStyle="1" w:styleId="221">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22">
    <w:name w:val="msonormal"/>
    <w:basedOn w:val="1"/>
    <w:qFormat/>
    <w:uiPriority w:val="0"/>
    <w:pPr>
      <w:widowControl/>
      <w:spacing w:before="100" w:beforeAutospacing="1" w:after="100" w:afterAutospacing="1"/>
      <w:jc w:val="left"/>
    </w:pPr>
    <w:rPr>
      <w:rFonts w:ascii="宋体" w:hAnsi="宋体" w:cs="宋体"/>
      <w:kern w:val="0"/>
    </w:rPr>
  </w:style>
  <w:style w:type="character" w:customStyle="1" w:styleId="223">
    <w:name w:val="font51"/>
    <w:basedOn w:val="90"/>
    <w:qFormat/>
    <w:uiPriority w:val="0"/>
    <w:rPr>
      <w:rFonts w:hint="eastAsia" w:ascii="宋体" w:hAnsi="宋体" w:eastAsia="宋体" w:cs="宋体"/>
      <w:color w:val="000000"/>
      <w:sz w:val="22"/>
      <w:szCs w:val="22"/>
      <w:u w:val="none"/>
    </w:rPr>
  </w:style>
  <w:style w:type="character" w:customStyle="1" w:styleId="224">
    <w:name w:val="font41"/>
    <w:basedOn w:val="90"/>
    <w:qFormat/>
    <w:uiPriority w:val="0"/>
    <w:rPr>
      <w:rFonts w:hint="eastAsia" w:ascii="宋体" w:hAnsi="宋体" w:eastAsia="宋体" w:cs="宋体"/>
      <w:color w:val="000000"/>
      <w:sz w:val="22"/>
      <w:szCs w:val="22"/>
      <w:u w:val="none"/>
    </w:rPr>
  </w:style>
  <w:style w:type="table" w:customStyle="1" w:styleId="225">
    <w:name w:val="TableGrid"/>
    <w:qFormat/>
    <w:uiPriority w:val="0"/>
    <w:rPr>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192</Pages>
  <Words>118772</Words>
  <Characters>138518</Characters>
  <Lines>111</Lines>
  <Paragraphs>31</Paragraphs>
  <TotalTime>5</TotalTime>
  <ScaleCrop>false</ScaleCrop>
  <LinksUpToDate>false</LinksUpToDate>
  <CharactersWithSpaces>140242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2018-01-05T03:26:00Z</dcterms:created>
  <dc:creator>钟江浩</dc:creator>
  <cp:lastModifiedBy>yangpeng</cp:lastModifiedBy>
  <dcterms:modified xsi:type="dcterms:W3CDTF">2021-12-07T02:34:19Z</dcterms:modified>
  <dc:title>国宝人寿重大疾病绿色通道健康服务手册</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