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ascii="黑体" w:hAnsi="黑体" w:eastAsia="黑体"/>
          <w:b/>
          <w:bCs/>
          <w:sz w:val="36"/>
        </w:rPr>
      </w:pPr>
      <w:r>
        <w:rPr>
          <w:rFonts w:hint="eastAsia" w:ascii="黑体" w:hAnsi="黑体" w:eastAsia="黑体"/>
          <w:b/>
          <w:color w:val="0D0D0D"/>
          <w:sz w:val="36"/>
        </w:rPr>
        <w:t>国宝人寿</w:t>
      </w:r>
      <w:r>
        <w:rPr>
          <w:rFonts w:hint="eastAsia" w:ascii="黑体" w:hAnsi="黑体" w:eastAsia="黑体"/>
          <w:b/>
          <w:color w:val="0D0D0D"/>
          <w:sz w:val="36"/>
          <w:lang w:eastAsia="zh-CN"/>
        </w:rPr>
        <w:t>产品专享</w:t>
      </w:r>
      <w:r>
        <w:rPr>
          <w:rFonts w:hint="eastAsia" w:ascii="黑体" w:hAnsi="黑体" w:eastAsia="黑体"/>
          <w:b/>
          <w:color w:val="0D0D0D"/>
          <w:sz w:val="36"/>
        </w:rPr>
        <w:t>服务手册</w:t>
      </w:r>
    </w:p>
    <w:p>
      <w:pPr>
        <w:numPr>
          <w:ilvl w:val="0"/>
          <w:numId w:val="0"/>
        </w:numPr>
        <w:spacing w:line="360" w:lineRule="auto"/>
        <w:ind w:firstLine="480" w:firstLineChars="200"/>
        <w:rPr>
          <w:rFonts w:hint="eastAsia" w:ascii="黑体" w:hAnsi="黑体" w:eastAsia="黑体" w:cs="宋体"/>
          <w:lang w:eastAsia="zh-CN"/>
        </w:rPr>
      </w:pPr>
      <w:r>
        <w:rPr>
          <w:rFonts w:hint="eastAsia" w:ascii="黑体" w:hAnsi="黑体" w:eastAsia="黑体" w:cs="宋体"/>
          <w:lang w:eastAsia="zh-CN"/>
        </w:rPr>
        <w:t>产品专享服务是我公司对投保特定险种的被保人提供的增值服务，主要包括“重疾绿通服务”和“住院医疗费用垫付服务”，具体服务内容如下：</w:t>
      </w:r>
    </w:p>
    <w:p>
      <w:pPr>
        <w:numPr>
          <w:ilvl w:val="0"/>
          <w:numId w:val="0"/>
        </w:numPr>
        <w:spacing w:line="360" w:lineRule="auto"/>
        <w:ind w:firstLine="480" w:firstLineChars="200"/>
        <w:rPr>
          <w:rFonts w:hint="eastAsia" w:ascii="黑体" w:hAnsi="黑体" w:eastAsia="黑体" w:cs="宋体"/>
          <w:lang w:eastAsia="zh-CN"/>
        </w:rPr>
      </w:pPr>
    </w:p>
    <w:p>
      <w:pPr>
        <w:numPr>
          <w:ilvl w:val="0"/>
          <w:numId w:val="0"/>
        </w:numPr>
        <w:spacing w:line="360" w:lineRule="auto"/>
        <w:rPr>
          <w:rFonts w:hint="eastAsia" w:ascii="黑体" w:hAnsi="黑体" w:eastAsia="黑体" w:cs="宋体"/>
          <w:b/>
          <w:bCs/>
          <w:lang w:eastAsia="zh-CN"/>
        </w:rPr>
      </w:pPr>
      <w:r>
        <w:rPr>
          <w:rFonts w:hint="eastAsia" w:ascii="黑体" w:hAnsi="黑体" w:eastAsia="黑体" w:cs="宋体"/>
          <w:b/>
          <w:bCs/>
          <w:lang w:eastAsia="zh-CN"/>
        </w:rPr>
        <w:t>一、重疾绿通服务</w:t>
      </w:r>
    </w:p>
    <w:p>
      <w:pPr>
        <w:numPr>
          <w:ilvl w:val="0"/>
          <w:numId w:val="0"/>
        </w:numPr>
        <w:spacing w:line="360" w:lineRule="auto"/>
        <w:ind w:firstLine="480" w:firstLineChars="200"/>
        <w:rPr>
          <w:rFonts w:hint="eastAsia" w:ascii="黑体" w:hAnsi="黑体" w:eastAsia="黑体" w:cs="宋体"/>
          <w:lang w:eastAsia="zh-CN"/>
        </w:rPr>
      </w:pPr>
      <w:r>
        <w:rPr>
          <w:rFonts w:hint="eastAsia" w:ascii="黑体" w:hAnsi="黑体" w:eastAsia="黑体" w:cs="宋体"/>
          <w:lang w:eastAsia="zh-CN"/>
        </w:rPr>
        <w:t>重疾绿通服务是我公司为投保《国宝人寿巴适一生重大疾病保险》（含智选版）、《国宝人寿真爱你重大疾病保险》等重大疾病类保险的被保人提供的医疗服务。〔该项服务由我公司与</w:t>
      </w:r>
      <w:bookmarkStart w:id="0" w:name="_GoBack"/>
      <w:bookmarkEnd w:id="0"/>
      <w:r>
        <w:rPr>
          <w:rFonts w:hint="eastAsia" w:ascii="黑体" w:hAnsi="黑体" w:eastAsia="黑体" w:cs="宋体"/>
          <w:lang w:eastAsia="zh-CN"/>
        </w:rPr>
        <w:t>“安盛旅行援助服务(北京)有限公司”合作提供〕</w:t>
      </w:r>
    </w:p>
    <w:p>
      <w:pPr>
        <w:numPr>
          <w:ilvl w:val="0"/>
          <w:numId w:val="11"/>
        </w:numPr>
        <w:spacing w:line="360" w:lineRule="auto"/>
        <w:rPr>
          <w:rFonts w:hint="default" w:ascii="黑体" w:hAnsi="黑体" w:eastAsia="黑体" w:cs="宋体"/>
          <w:lang w:val="en-US" w:eastAsia="zh-CN"/>
        </w:rPr>
      </w:pPr>
      <w:r>
        <w:rPr>
          <w:rFonts w:hint="eastAsia" w:ascii="黑体" w:hAnsi="黑体" w:eastAsia="黑体" w:cs="宋体"/>
          <w:b/>
          <w:bCs/>
          <w:lang w:val="en-US" w:eastAsia="zh-CN"/>
        </w:rPr>
        <w:t>服务内容：</w:t>
      </w:r>
      <w:r>
        <w:rPr>
          <w:rFonts w:hint="eastAsia" w:ascii="黑体" w:hAnsi="黑体" w:eastAsia="黑体" w:cs="宋体"/>
          <w:lang w:eastAsia="zh-CN"/>
        </w:rPr>
        <w:t>重疾绿通服务根据不同的保额配套不同的服务内容,详见下表：</w:t>
      </w:r>
    </w:p>
    <w:p>
      <w:pPr>
        <w:numPr>
          <w:ilvl w:val="0"/>
          <w:numId w:val="0"/>
        </w:numPr>
        <w:spacing w:line="360" w:lineRule="auto"/>
        <w:rPr>
          <w:rFonts w:hint="eastAsia" w:ascii="黑体" w:hAnsi="黑体" w:eastAsia="黑体" w:cs="宋体"/>
          <w:lang w:eastAsia="zh-CN"/>
        </w:rPr>
      </w:pPr>
      <w:r>
        <mc:AlternateContent>
          <mc:Choice Requires="wps">
            <w:drawing>
              <wp:anchor distT="0" distB="0" distL="114300" distR="114300" simplePos="0" relativeHeight="251659264" behindDoc="0" locked="0" layoutInCell="1" allowOverlap="1">
                <wp:simplePos x="0" y="0"/>
                <wp:positionH relativeFrom="column">
                  <wp:posOffset>743585</wp:posOffset>
                </wp:positionH>
                <wp:positionV relativeFrom="paragraph">
                  <wp:posOffset>2911475</wp:posOffset>
                </wp:positionV>
                <wp:extent cx="4518660" cy="200025"/>
                <wp:effectExtent l="0" t="0" r="0" b="0"/>
                <wp:wrapNone/>
                <wp:docPr id="3" name="矩形 2"/>
                <wp:cNvGraphicFramePr/>
                <a:graphic xmlns:a="http://schemas.openxmlformats.org/drawingml/2006/main">
                  <a:graphicData uri="http://schemas.microsoft.com/office/word/2010/wordprocessingShape">
                    <wps:wsp>
                      <wps:cNvSpPr/>
                      <wps:spPr>
                        <a:xfrm>
                          <a:off x="0" y="0"/>
                          <a:ext cx="4518660" cy="200055"/>
                        </a:xfrm>
                        <a:prstGeom prst="rect">
                          <a:avLst/>
                        </a:prstGeom>
                      </wps:spPr>
                      <wps:txbx>
                        <w:txbxContent>
                          <w:p>
                            <w:pPr>
                              <w:pStyle w:val="220"/>
                              <w:numPr>
                                <w:ilvl w:val="0"/>
                                <w:numId w:val="0"/>
                              </w:numPr>
                              <w:kinsoku/>
                              <w:spacing w:line="240" w:lineRule="auto"/>
                              <w:jc w:val="right"/>
                              <w:textAlignment w:val="top"/>
                              <w:rPr>
                                <w:rFonts w:hint="eastAsia" w:ascii="黑体" w:hAnsi="黑体" w:eastAsia="黑体" w:cs="宋体"/>
                                <w:kern w:val="2"/>
                                <w:sz w:val="13"/>
                                <w:szCs w:val="13"/>
                                <w:lang w:val="en-US" w:eastAsia="zh-CN" w:bidi="ar-SA"/>
                              </w:rPr>
                            </w:pPr>
                            <w:r>
                              <w:rPr>
                                <w:rFonts w:hint="eastAsia" w:ascii="黑体" w:hAnsi="黑体" w:eastAsia="黑体" w:cs="宋体"/>
                                <w:kern w:val="2"/>
                                <w:sz w:val="13"/>
                                <w:szCs w:val="13"/>
                                <w:lang w:val="en-US" w:eastAsia="zh-CN" w:bidi="ar-SA"/>
                              </w:rPr>
                              <w:t xml:space="preserve">注：√1：不指定医院、不指定专家 √2：指定医院、不指定专家 √3：指定医院、指定专家 </w:t>
                            </w:r>
                          </w:p>
                        </w:txbxContent>
                      </wps:txbx>
                      <wps:bodyPr wrap="square">
                        <a:spAutoFit/>
                      </wps:bodyPr>
                    </wps:wsp>
                  </a:graphicData>
                </a:graphic>
              </wp:anchor>
            </w:drawing>
          </mc:Choice>
          <mc:Fallback>
            <w:pict>
              <v:rect id="矩形 2" o:spid="_x0000_s1026" o:spt="1" style="position:absolute;left:0pt;margin-left:58.55pt;margin-top:229.25pt;height:15.75pt;width:355.8pt;z-index:251659264;mso-width-relative:page;mso-height-relative:page;" filled="f" stroked="f" coordsize="21600,21600" o:gfxdata="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3rz33ZAAAACwEAAA8AAAAA&#10;AAAAAQAgAAAAIgAAAGRycy9kb3ducmV2LnhtbFBLAQIUABQAAAAIAIdO4kAF3KJboQEAADoDAAAO&#10;AAAAAAAAAAEAIAAAACgBAABkcnMvZTJvRG9jLnhtbFBLBQYAAAAABgAGAFkBAAA7BQAAAAA=&#10;">
                <v:fill on="f" focussize="0,0"/>
                <v:stroke on="f"/>
                <v:imagedata o:title=""/>
                <o:lock v:ext="edit" aspectratio="f"/>
                <v:textbox style="mso-fit-shape-to-text:t;">
                  <w:txbxContent>
                    <w:p>
                      <w:pPr>
                        <w:pStyle w:val="220"/>
                        <w:numPr>
                          <w:ilvl w:val="0"/>
                          <w:numId w:val="0"/>
                        </w:numPr>
                        <w:kinsoku/>
                        <w:spacing w:line="240" w:lineRule="auto"/>
                        <w:jc w:val="right"/>
                        <w:textAlignment w:val="top"/>
                        <w:rPr>
                          <w:rFonts w:hint="eastAsia" w:ascii="黑体" w:hAnsi="黑体" w:eastAsia="黑体" w:cs="宋体"/>
                          <w:kern w:val="2"/>
                          <w:sz w:val="13"/>
                          <w:szCs w:val="13"/>
                          <w:lang w:val="en-US" w:eastAsia="zh-CN" w:bidi="ar-SA"/>
                        </w:rPr>
                      </w:pPr>
                      <w:r>
                        <w:rPr>
                          <w:rFonts w:hint="eastAsia" w:ascii="黑体" w:hAnsi="黑体" w:eastAsia="黑体" w:cs="宋体"/>
                          <w:kern w:val="2"/>
                          <w:sz w:val="13"/>
                          <w:szCs w:val="13"/>
                          <w:lang w:val="en-US" w:eastAsia="zh-CN" w:bidi="ar-SA"/>
                        </w:rPr>
                        <w:t xml:space="preserve">注：√1：不指定医院、不指定专家 √2：指定医院、不指定专家 √3：指定医院、指定专家 </w:t>
                      </w:r>
                    </w:p>
                  </w:txbxContent>
                </v:textbox>
              </v:rect>
            </w:pict>
          </mc:Fallback>
        </mc:AlternateContent>
      </w:r>
      <w:r>
        <w:drawing>
          <wp:inline distT="0" distB="0" distL="114300" distR="114300">
            <wp:extent cx="5268595" cy="2865755"/>
            <wp:effectExtent l="0" t="0" r="825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8595" cy="2865755"/>
                    </a:xfrm>
                    <a:prstGeom prst="rect">
                      <a:avLst/>
                    </a:prstGeom>
                    <a:noFill/>
                    <a:ln>
                      <a:noFill/>
                    </a:ln>
                  </pic:spPr>
                </pic:pic>
              </a:graphicData>
            </a:graphic>
          </wp:inline>
        </w:drawing>
      </w:r>
    </w:p>
    <w:p>
      <w:pPr>
        <w:numPr>
          <w:ilvl w:val="0"/>
          <w:numId w:val="0"/>
        </w:numPr>
        <w:spacing w:line="360" w:lineRule="auto"/>
        <w:rPr>
          <w:rFonts w:hint="eastAsia" w:ascii="黑体" w:hAnsi="黑体" w:eastAsia="黑体" w:cs="宋体"/>
          <w:lang w:eastAsia="zh-CN"/>
        </w:rPr>
      </w:pPr>
    </w:p>
    <w:p>
      <w:pPr>
        <w:numPr>
          <w:ilvl w:val="0"/>
          <w:numId w:val="11"/>
        </w:numPr>
        <w:spacing w:line="360" w:lineRule="auto"/>
        <w:rPr>
          <w:rFonts w:hint="default" w:ascii="黑体" w:hAnsi="黑体" w:eastAsia="黑体" w:cs="宋体"/>
          <w:b/>
          <w:bCs/>
          <w:lang w:val="en-US" w:eastAsia="zh-CN"/>
        </w:rPr>
      </w:pPr>
      <w:r>
        <w:rPr>
          <w:rFonts w:hint="eastAsia" w:ascii="黑体" w:hAnsi="黑体" w:eastAsia="黑体" w:cs="宋体"/>
          <w:b/>
          <w:bCs/>
          <w:lang w:val="en-US" w:eastAsia="zh-CN"/>
        </w:rPr>
        <w:t>服务生效日期：</w:t>
      </w:r>
    </w:p>
    <w:p>
      <w:pPr>
        <w:numPr>
          <w:ilvl w:val="0"/>
          <w:numId w:val="0"/>
        </w:numPr>
        <w:spacing w:line="360" w:lineRule="auto"/>
        <w:ind w:firstLine="480" w:firstLineChars="200"/>
        <w:rPr>
          <w:rFonts w:hint="eastAsia" w:ascii="黑体" w:hAnsi="黑体" w:eastAsia="黑体" w:cs="宋体"/>
          <w:lang w:val="en-US" w:eastAsia="zh-CN"/>
        </w:rPr>
      </w:pPr>
      <w:r>
        <w:rPr>
          <w:rFonts w:hint="eastAsia" w:ascii="黑体" w:hAnsi="黑体" w:eastAsia="黑体" w:cs="宋体"/>
          <w:lang w:val="en-US" w:eastAsia="zh-CN"/>
        </w:rPr>
        <w:t>视频医生和体检预约项目在保单犹豫期后的次月生效；其余项目在保险合同等待期满后的次日生效；服务生效后您即可申请使用服务。</w:t>
      </w:r>
    </w:p>
    <w:p>
      <w:pPr>
        <w:numPr>
          <w:ilvl w:val="0"/>
          <w:numId w:val="0"/>
        </w:numPr>
        <w:spacing w:line="360" w:lineRule="auto"/>
        <w:ind w:firstLine="480" w:firstLineChars="200"/>
        <w:rPr>
          <w:rFonts w:hint="eastAsia" w:ascii="黑体" w:hAnsi="黑体" w:eastAsia="黑体" w:cs="宋体"/>
          <w:lang w:val="en-US" w:eastAsia="zh-CN"/>
        </w:rPr>
      </w:pPr>
      <w:r>
        <w:rPr>
          <w:rFonts w:hint="eastAsia" w:ascii="黑体" w:hAnsi="黑体" w:eastAsia="黑体" w:cs="宋体"/>
          <w:lang w:val="en-US" w:eastAsia="zh-CN"/>
        </w:rPr>
        <w:t>保单失效后，您的服务将暂时停止；保险期间届满、退保、或者服务到期等情况，您的服务将终止。</w:t>
      </w:r>
    </w:p>
    <w:p>
      <w:pPr>
        <w:numPr>
          <w:ilvl w:val="0"/>
          <w:numId w:val="11"/>
        </w:numPr>
        <w:spacing w:line="360" w:lineRule="auto"/>
        <w:rPr>
          <w:rFonts w:hint="default" w:ascii="黑体" w:hAnsi="黑体" w:eastAsia="黑体" w:cs="宋体"/>
          <w:b/>
          <w:bCs/>
          <w:lang w:val="en-US" w:eastAsia="zh-CN"/>
        </w:rPr>
      </w:pPr>
      <w:r>
        <w:rPr>
          <w:rFonts w:hint="eastAsia" w:ascii="黑体" w:hAnsi="黑体" w:eastAsia="黑体" w:cs="宋体"/>
          <w:b/>
          <w:bCs/>
          <w:lang w:val="en-US" w:eastAsia="zh-CN"/>
        </w:rPr>
        <w:t>服务使用方式：</w:t>
      </w:r>
    </w:p>
    <w:p>
      <w:pPr>
        <w:numPr>
          <w:ilvl w:val="0"/>
          <w:numId w:val="0"/>
        </w:numPr>
        <w:spacing w:line="360" w:lineRule="auto"/>
        <w:ind w:firstLine="480" w:firstLineChars="200"/>
        <w:rPr>
          <w:rFonts w:hint="eastAsia" w:ascii="黑体" w:hAnsi="黑体" w:eastAsia="黑体" w:cs="宋体"/>
          <w:color w:val="auto"/>
          <w:lang w:val="en-US" w:eastAsia="zh-CN"/>
        </w:rPr>
      </w:pPr>
      <w:r>
        <w:rPr>
          <w:rFonts w:hint="eastAsia" w:ascii="黑体" w:hAnsi="黑体" w:eastAsia="黑体" w:cs="宋体"/>
          <w:color w:val="auto"/>
          <w:lang w:val="en-US" w:eastAsia="zh-CN"/>
        </w:rPr>
        <w:t>视频医生和体检预约，您可拨打国宝健康服务专线0512-80903086，提供被保险的姓名和电话号码后六位即可使用。（被保人为小孩的可提供投保人的电话号码后六位）</w:t>
      </w:r>
    </w:p>
    <w:p>
      <w:pPr>
        <w:numPr>
          <w:ilvl w:val="0"/>
          <w:numId w:val="0"/>
        </w:numPr>
        <w:spacing w:line="360" w:lineRule="auto"/>
        <w:ind w:firstLine="480" w:firstLineChars="200"/>
        <w:rPr>
          <w:rFonts w:hint="default" w:ascii="黑体" w:hAnsi="黑体" w:eastAsia="黑体" w:cs="宋体"/>
          <w:b/>
          <w:bCs/>
          <w:lang w:val="en-US" w:eastAsia="zh-CN"/>
        </w:rPr>
      </w:pPr>
      <w:r>
        <w:rPr>
          <w:rFonts w:hint="eastAsia" w:ascii="黑体" w:hAnsi="黑体" w:eastAsia="黑体" w:cs="宋体"/>
          <w:color w:val="auto"/>
          <w:lang w:val="en-US" w:eastAsia="zh-CN"/>
        </w:rPr>
        <w:t>专家门诊预约、就医陪诊、快速住院、手术协调、国内转诊、国内二次诊疗、国际转诊、国际二次诊疗、路费报销、城际转运，您可拨打国宝健康服务专线0512-80903086申请。使用上述服务需满足罹患的疾病诊断为服务约定的重大疾病或轻（中）症疾病，并提交二级以及以上医院出具的诊断证明、各类检查报告、住院条等资料。</w:t>
      </w:r>
    </w:p>
    <w:p>
      <w:pPr>
        <w:numPr>
          <w:ilvl w:val="0"/>
          <w:numId w:val="11"/>
        </w:numPr>
        <w:spacing w:line="360" w:lineRule="auto"/>
        <w:rPr>
          <w:rFonts w:hint="default" w:ascii="黑体" w:hAnsi="黑体" w:eastAsia="黑体" w:cs="宋体"/>
          <w:b/>
          <w:bCs/>
          <w:lang w:val="en-US" w:eastAsia="zh-CN"/>
        </w:rPr>
      </w:pPr>
      <w:r>
        <w:rPr>
          <w:rFonts w:hint="eastAsia" w:ascii="黑体" w:hAnsi="黑体" w:eastAsia="黑体" w:cs="宋体"/>
          <w:b/>
          <w:bCs/>
          <w:lang w:val="en-US" w:eastAsia="zh-CN"/>
        </w:rPr>
        <w:t>服务具体内容释义：</w:t>
      </w:r>
    </w:p>
    <w:p>
      <w:pPr>
        <w:numPr>
          <w:ilvl w:val="0"/>
          <w:numId w:val="0"/>
        </w:numPr>
        <w:spacing w:line="360" w:lineRule="auto"/>
        <w:ind w:firstLine="480"/>
        <w:rPr>
          <w:rFonts w:hint="default" w:ascii="黑体" w:hAnsi="黑体" w:eastAsia="黑体" w:cs="宋体"/>
          <w:lang w:val="en-US" w:eastAsia="zh-CN"/>
        </w:rPr>
      </w:pPr>
      <w:r>
        <w:rPr>
          <w:rFonts w:hint="default" w:ascii="黑体" w:hAnsi="黑体" w:eastAsia="黑体" w:cs="宋体"/>
          <w:lang w:val="en-US" w:eastAsia="zh-CN"/>
        </w:rPr>
        <w:t>上述服务</w:t>
      </w:r>
      <w:r>
        <w:rPr>
          <w:rFonts w:hint="eastAsia" w:ascii="黑体" w:hAnsi="黑体" w:eastAsia="黑体" w:cs="宋体"/>
          <w:lang w:val="en-US" w:eastAsia="zh-CN"/>
        </w:rPr>
        <w:t>在服务</w:t>
      </w:r>
      <w:r>
        <w:rPr>
          <w:rFonts w:hint="default" w:ascii="黑体" w:hAnsi="黑体" w:eastAsia="黑体" w:cs="宋体"/>
          <w:lang w:val="en-US" w:eastAsia="zh-CN"/>
        </w:rPr>
        <w:t>期限内，</w:t>
      </w:r>
      <w:r>
        <w:rPr>
          <w:rFonts w:hint="eastAsia" w:ascii="黑体" w:hAnsi="黑体" w:eastAsia="黑体" w:cs="宋体"/>
          <w:lang w:val="en-US" w:eastAsia="zh-CN"/>
        </w:rPr>
        <w:t>您</w:t>
      </w:r>
      <w:r>
        <w:rPr>
          <w:rFonts w:hint="default" w:ascii="黑体" w:hAnsi="黑体" w:eastAsia="黑体" w:cs="宋体"/>
          <w:lang w:val="en-US" w:eastAsia="zh-CN"/>
        </w:rPr>
        <w:t>可根据实际需要</w:t>
      </w:r>
      <w:r>
        <w:rPr>
          <w:rFonts w:hint="eastAsia" w:ascii="黑体" w:hAnsi="黑体" w:eastAsia="黑体" w:cs="宋体"/>
          <w:lang w:val="en-US" w:eastAsia="zh-CN"/>
        </w:rPr>
        <w:t>提出</w:t>
      </w:r>
      <w:r>
        <w:rPr>
          <w:rFonts w:hint="default" w:ascii="黑体" w:hAnsi="黑体" w:eastAsia="黑体" w:cs="宋体"/>
          <w:lang w:val="en-US" w:eastAsia="zh-CN"/>
        </w:rPr>
        <w:t>申请，</w:t>
      </w:r>
      <w:r>
        <w:rPr>
          <w:rFonts w:hint="eastAsia" w:ascii="黑体" w:hAnsi="黑体" w:eastAsia="黑体" w:cs="宋体"/>
          <w:lang w:val="en-US" w:eastAsia="zh-CN"/>
        </w:rPr>
        <w:t>服务内容、时效和使用次数</w:t>
      </w:r>
      <w:r>
        <w:rPr>
          <w:rFonts w:hint="default" w:ascii="黑体" w:hAnsi="黑体" w:eastAsia="黑体" w:cs="宋体"/>
          <w:lang w:val="en-US" w:eastAsia="zh-CN"/>
        </w:rPr>
        <w:t>详见</w:t>
      </w:r>
      <w:r>
        <w:rPr>
          <w:rFonts w:hint="eastAsia" w:ascii="黑体" w:hAnsi="黑体" w:eastAsia="黑体" w:cs="宋体"/>
          <w:lang w:val="en-US" w:eastAsia="zh-CN"/>
        </w:rPr>
        <w:t>“</w:t>
      </w:r>
      <w:r>
        <w:rPr>
          <w:rFonts w:hint="eastAsia" w:ascii="黑体" w:hAnsi="黑体" w:eastAsia="黑体" w:cs="宋体"/>
          <w:b/>
          <w:bCs/>
          <w:lang w:val="en-US" w:eastAsia="zh-CN"/>
        </w:rPr>
        <w:t>附件1：重疾绿通服务</w:t>
      </w:r>
      <w:r>
        <w:rPr>
          <w:rFonts w:hint="default" w:ascii="黑体" w:hAnsi="黑体" w:eastAsia="黑体" w:cs="宋体"/>
          <w:b/>
          <w:bCs/>
          <w:lang w:val="en-US" w:eastAsia="zh-CN"/>
        </w:rPr>
        <w:t>服务</w:t>
      </w:r>
      <w:r>
        <w:rPr>
          <w:rFonts w:hint="eastAsia" w:ascii="黑体" w:hAnsi="黑体" w:eastAsia="黑体" w:cs="宋体"/>
          <w:b/>
          <w:bCs/>
          <w:lang w:val="en-US" w:eastAsia="zh-CN"/>
        </w:rPr>
        <w:t>内容释义</w:t>
      </w:r>
      <w:r>
        <w:rPr>
          <w:rFonts w:hint="eastAsia" w:ascii="黑体" w:hAnsi="黑体" w:eastAsia="黑体" w:cs="宋体"/>
          <w:lang w:val="en-US" w:eastAsia="zh-CN"/>
        </w:rPr>
        <w:t>”</w:t>
      </w:r>
      <w:r>
        <w:rPr>
          <w:rFonts w:hint="default" w:ascii="黑体" w:hAnsi="黑体" w:eastAsia="黑体" w:cs="宋体"/>
          <w:lang w:val="en-US" w:eastAsia="zh-CN"/>
        </w:rPr>
        <w:t>。</w:t>
      </w:r>
    </w:p>
    <w:p>
      <w:pPr>
        <w:numPr>
          <w:ilvl w:val="0"/>
          <w:numId w:val="11"/>
        </w:numPr>
        <w:spacing w:line="360" w:lineRule="auto"/>
        <w:rPr>
          <w:rFonts w:hint="default" w:ascii="黑体" w:hAnsi="黑体" w:eastAsia="黑体" w:cs="宋体"/>
          <w:b/>
          <w:bCs/>
          <w:lang w:val="en-US" w:eastAsia="zh-CN"/>
        </w:rPr>
      </w:pPr>
      <w:r>
        <w:rPr>
          <w:rFonts w:hint="eastAsia" w:ascii="黑体" w:hAnsi="黑体" w:eastAsia="黑体" w:cs="宋体"/>
          <w:b/>
          <w:bCs/>
          <w:lang w:val="en-US" w:eastAsia="zh-CN"/>
        </w:rPr>
        <w:t>重疾定义和服务医院：</w:t>
      </w:r>
    </w:p>
    <w:p>
      <w:pPr>
        <w:numPr>
          <w:ilvl w:val="0"/>
          <w:numId w:val="0"/>
        </w:numPr>
        <w:spacing w:line="360" w:lineRule="auto"/>
        <w:ind w:firstLine="480"/>
        <w:rPr>
          <w:rFonts w:hint="eastAsia" w:ascii="黑体" w:hAnsi="黑体" w:eastAsia="黑体" w:cs="宋体"/>
          <w:lang w:val="en-US" w:eastAsia="zh-CN"/>
        </w:rPr>
      </w:pPr>
      <w:r>
        <w:rPr>
          <w:rFonts w:hint="eastAsia" w:ascii="黑体" w:hAnsi="黑体" w:eastAsia="黑体" w:cs="宋体"/>
          <w:lang w:val="en-US" w:eastAsia="zh-CN"/>
        </w:rPr>
        <w:t>重疾范围详见“</w:t>
      </w:r>
      <w:r>
        <w:rPr>
          <w:rFonts w:hint="eastAsia" w:ascii="黑体" w:hAnsi="黑体" w:eastAsia="黑体" w:cs="宋体"/>
          <w:b/>
          <w:bCs/>
          <w:lang w:val="en-US" w:eastAsia="zh-CN"/>
        </w:rPr>
        <w:t>附件2：重疾绿通服务重疾清单</w:t>
      </w:r>
      <w:r>
        <w:rPr>
          <w:rFonts w:hint="eastAsia" w:ascii="黑体" w:hAnsi="黑体" w:eastAsia="黑体" w:cs="宋体"/>
          <w:lang w:val="en-US" w:eastAsia="zh-CN"/>
        </w:rPr>
        <w:t>”。</w:t>
      </w:r>
    </w:p>
    <w:p>
      <w:pPr>
        <w:numPr>
          <w:ilvl w:val="0"/>
          <w:numId w:val="0"/>
        </w:numPr>
        <w:spacing w:line="360" w:lineRule="auto"/>
        <w:ind w:firstLine="480"/>
        <w:rPr>
          <w:rFonts w:hint="default" w:ascii="黑体" w:hAnsi="黑体" w:eastAsia="黑体" w:cs="宋体"/>
          <w:b/>
          <w:bCs/>
          <w:lang w:val="en-US" w:eastAsia="zh-CN"/>
        </w:rPr>
      </w:pPr>
      <w:r>
        <w:rPr>
          <w:rFonts w:hint="eastAsia" w:ascii="黑体" w:hAnsi="黑体" w:eastAsia="黑体" w:cs="宋体"/>
          <w:lang w:val="en-US" w:eastAsia="zh-CN"/>
        </w:rPr>
        <w:t>服务医院详见“</w:t>
      </w:r>
      <w:r>
        <w:rPr>
          <w:rFonts w:hint="eastAsia" w:ascii="黑体" w:hAnsi="黑体" w:eastAsia="黑体" w:cs="宋体"/>
          <w:b/>
          <w:bCs/>
          <w:lang w:val="en-US" w:eastAsia="zh-CN"/>
        </w:rPr>
        <w:t>附件3：重疾绿通服务服务医院</w:t>
      </w:r>
      <w:r>
        <w:rPr>
          <w:rFonts w:hint="eastAsia" w:ascii="黑体" w:hAnsi="黑体" w:eastAsia="黑体" w:cs="宋体"/>
          <w:lang w:val="en-US" w:eastAsia="zh-CN"/>
        </w:rPr>
        <w:t>”</w:t>
      </w:r>
      <w:r>
        <w:rPr>
          <w:rFonts w:hint="default" w:ascii="黑体" w:hAnsi="黑体" w:eastAsia="黑体" w:cs="宋体"/>
          <w:lang w:val="en-US" w:eastAsia="zh-CN"/>
        </w:rPr>
        <w:t>。</w:t>
      </w:r>
    </w:p>
    <w:p>
      <w:pPr>
        <w:numPr>
          <w:ilvl w:val="0"/>
          <w:numId w:val="11"/>
        </w:numPr>
        <w:spacing w:line="360" w:lineRule="auto"/>
        <w:rPr>
          <w:rFonts w:hint="default" w:ascii="黑体" w:hAnsi="黑体" w:eastAsia="黑体" w:cs="宋体"/>
          <w:b/>
          <w:bCs/>
          <w:lang w:val="en-US" w:eastAsia="zh-CN"/>
        </w:rPr>
      </w:pPr>
      <w:r>
        <w:rPr>
          <w:rFonts w:hint="eastAsia" w:ascii="黑体" w:hAnsi="黑体" w:eastAsia="黑体" w:cs="宋体"/>
          <w:b/>
          <w:bCs/>
          <w:lang w:val="en-US" w:eastAsia="zh-CN"/>
        </w:rPr>
        <w:t>服务险种：</w:t>
      </w:r>
    </w:p>
    <w:p>
      <w:pPr>
        <w:numPr>
          <w:ilvl w:val="0"/>
          <w:numId w:val="0"/>
        </w:numPr>
        <w:spacing w:line="360" w:lineRule="auto"/>
        <w:ind w:firstLine="480" w:firstLineChars="200"/>
        <w:rPr>
          <w:rFonts w:hint="eastAsia" w:ascii="黑体" w:hAnsi="黑体" w:eastAsia="黑体" w:cs="宋体"/>
          <w:lang w:val="en-US" w:eastAsia="zh-CN"/>
        </w:rPr>
      </w:pPr>
      <w:r>
        <w:rPr>
          <w:rFonts w:hint="eastAsia" w:ascii="黑体" w:hAnsi="黑体" w:eastAsia="黑体" w:cs="宋体"/>
          <w:lang w:val="en-US" w:eastAsia="zh-CN"/>
        </w:rPr>
        <w:t>服务险种详见“</w:t>
      </w:r>
      <w:r>
        <w:rPr>
          <w:rFonts w:hint="eastAsia" w:ascii="黑体" w:hAnsi="黑体" w:eastAsia="黑体" w:cs="宋体"/>
          <w:b/>
          <w:bCs/>
          <w:lang w:val="en-US" w:eastAsia="zh-CN"/>
        </w:rPr>
        <w:t>附件4：服务险种列表</w:t>
      </w:r>
      <w:r>
        <w:rPr>
          <w:rFonts w:hint="eastAsia" w:ascii="黑体" w:hAnsi="黑体" w:eastAsia="黑体" w:cs="宋体"/>
          <w:lang w:val="en-US" w:eastAsia="zh-CN"/>
        </w:rPr>
        <w:t>”。</w:t>
      </w:r>
    </w:p>
    <w:p>
      <w:pPr>
        <w:numPr>
          <w:ilvl w:val="0"/>
          <w:numId w:val="11"/>
        </w:numPr>
        <w:spacing w:line="360" w:lineRule="auto"/>
        <w:rPr>
          <w:rFonts w:hint="default" w:ascii="黑体" w:hAnsi="黑体" w:eastAsia="黑体" w:cs="宋体"/>
          <w:b/>
          <w:bCs/>
          <w:lang w:val="en-US" w:eastAsia="zh-CN"/>
        </w:rPr>
      </w:pPr>
      <w:r>
        <w:rPr>
          <w:rFonts w:hint="eastAsia" w:ascii="黑体" w:hAnsi="黑体" w:eastAsia="黑体" w:cs="宋体"/>
          <w:b/>
          <w:bCs/>
          <w:lang w:val="en-US" w:eastAsia="zh-CN"/>
        </w:rPr>
        <w:t>注意事项：</w:t>
      </w:r>
    </w:p>
    <w:p>
      <w:pPr>
        <w:numPr>
          <w:ilvl w:val="0"/>
          <w:numId w:val="0"/>
        </w:numPr>
        <w:spacing w:line="360" w:lineRule="auto"/>
        <w:ind w:firstLine="480" w:firstLineChars="200"/>
        <w:rPr>
          <w:rFonts w:hint="default" w:ascii="黑体" w:hAnsi="黑体" w:eastAsia="黑体" w:cs="宋体"/>
          <w:lang w:val="en-US" w:eastAsia="zh-CN"/>
        </w:rPr>
      </w:pPr>
      <w:r>
        <w:rPr>
          <w:rFonts w:hint="default" w:ascii="黑体" w:hAnsi="黑体" w:eastAsia="黑体" w:cs="宋体"/>
          <w:lang w:val="en-US" w:eastAsia="zh-CN"/>
        </w:rPr>
        <w:t>（1）</w:t>
      </w:r>
      <w:r>
        <w:rPr>
          <w:rFonts w:hint="eastAsia" w:ascii="黑体" w:hAnsi="黑体" w:eastAsia="黑体" w:cs="宋体"/>
          <w:lang w:val="en-US" w:eastAsia="zh-CN"/>
        </w:rPr>
        <w:t>重疾绿通服务不包括</w:t>
      </w:r>
      <w:r>
        <w:rPr>
          <w:rFonts w:hint="default" w:ascii="黑体" w:hAnsi="黑体" w:eastAsia="黑体" w:cs="宋体"/>
          <w:lang w:val="en-US" w:eastAsia="zh-CN"/>
        </w:rPr>
        <w:t>所产生的相关医疗费用（如治疗费、药品费、检查费、床位费等）</w:t>
      </w:r>
      <w:r>
        <w:rPr>
          <w:rFonts w:hint="eastAsia" w:ascii="黑体" w:hAnsi="黑体" w:eastAsia="黑体" w:cs="宋体"/>
          <w:lang w:val="en-US" w:eastAsia="zh-CN"/>
        </w:rPr>
        <w:t>，该费用由您</w:t>
      </w:r>
      <w:r>
        <w:rPr>
          <w:rFonts w:hint="default" w:ascii="黑体" w:hAnsi="黑体" w:eastAsia="黑体" w:cs="宋体"/>
          <w:lang w:val="en-US" w:eastAsia="zh-CN"/>
        </w:rPr>
        <w:t>自行承担。</w:t>
      </w:r>
    </w:p>
    <w:p>
      <w:pPr>
        <w:numPr>
          <w:ilvl w:val="0"/>
          <w:numId w:val="0"/>
        </w:numPr>
        <w:spacing w:line="360" w:lineRule="auto"/>
        <w:ind w:firstLine="480" w:firstLineChars="200"/>
        <w:rPr>
          <w:rFonts w:hint="default" w:ascii="黑体" w:hAnsi="黑体" w:eastAsia="黑体" w:cs="宋体"/>
          <w:color w:val="auto"/>
          <w:lang w:val="en-US" w:eastAsia="zh-CN"/>
        </w:rPr>
      </w:pPr>
      <w:r>
        <w:rPr>
          <w:rFonts w:hint="default" w:ascii="黑体" w:hAnsi="黑体" w:eastAsia="黑体" w:cs="宋体"/>
          <w:color w:val="auto"/>
          <w:lang w:val="en-US" w:eastAsia="zh-CN"/>
        </w:rPr>
        <w:t>（</w:t>
      </w:r>
      <w:r>
        <w:rPr>
          <w:rFonts w:hint="eastAsia" w:ascii="黑体" w:hAnsi="黑体" w:eastAsia="黑体" w:cs="宋体"/>
          <w:color w:val="auto"/>
          <w:lang w:val="en-US" w:eastAsia="zh-CN"/>
        </w:rPr>
        <w:t>2</w:t>
      </w:r>
      <w:r>
        <w:rPr>
          <w:rFonts w:hint="default" w:ascii="黑体" w:hAnsi="黑体" w:eastAsia="黑体" w:cs="宋体"/>
          <w:color w:val="auto"/>
          <w:lang w:val="en-US" w:eastAsia="zh-CN"/>
        </w:rPr>
        <w:t>）若已</w:t>
      </w:r>
      <w:r>
        <w:rPr>
          <w:rFonts w:hint="eastAsia" w:ascii="黑体" w:hAnsi="黑体" w:eastAsia="黑体" w:cs="宋体"/>
          <w:color w:val="auto"/>
          <w:lang w:val="en-US" w:eastAsia="zh-CN"/>
        </w:rPr>
        <w:t>为您</w:t>
      </w:r>
      <w:r>
        <w:rPr>
          <w:rFonts w:hint="default" w:ascii="黑体" w:hAnsi="黑体" w:eastAsia="黑体" w:cs="宋体"/>
          <w:color w:val="auto"/>
          <w:lang w:val="en-US" w:eastAsia="zh-CN"/>
        </w:rPr>
        <w:t>安排了重疾绿通服务，并且</w:t>
      </w:r>
      <w:r>
        <w:rPr>
          <w:rFonts w:hint="eastAsia" w:ascii="黑体" w:hAnsi="黑体" w:eastAsia="黑体" w:cs="宋体"/>
          <w:color w:val="auto"/>
          <w:lang w:val="en-US" w:eastAsia="zh-CN"/>
        </w:rPr>
        <w:t>与您</w:t>
      </w:r>
      <w:r>
        <w:rPr>
          <w:rFonts w:hint="default" w:ascii="黑体" w:hAnsi="黑体" w:eastAsia="黑体" w:cs="宋体"/>
          <w:color w:val="auto"/>
          <w:lang w:val="en-US" w:eastAsia="zh-CN"/>
        </w:rPr>
        <w:t>取得</w:t>
      </w:r>
      <w:r>
        <w:rPr>
          <w:rFonts w:hint="eastAsia" w:ascii="黑体" w:hAnsi="黑体" w:eastAsia="黑体" w:cs="宋体"/>
          <w:color w:val="auto"/>
          <w:lang w:val="en-US" w:eastAsia="zh-CN"/>
        </w:rPr>
        <w:t>了</w:t>
      </w:r>
      <w:r>
        <w:rPr>
          <w:rFonts w:hint="default" w:ascii="黑体" w:hAnsi="黑体" w:eastAsia="黑体" w:cs="宋体"/>
          <w:color w:val="auto"/>
          <w:lang w:val="en-US" w:eastAsia="zh-CN"/>
        </w:rPr>
        <w:t>确认，</w:t>
      </w:r>
      <w:r>
        <w:rPr>
          <w:rFonts w:hint="eastAsia" w:ascii="黑体" w:hAnsi="黑体" w:eastAsia="黑体" w:cs="宋体"/>
          <w:color w:val="auto"/>
          <w:lang w:val="en-US" w:eastAsia="zh-CN"/>
        </w:rPr>
        <w:t>则不能进行取消</w:t>
      </w:r>
      <w:r>
        <w:rPr>
          <w:rFonts w:hint="default" w:ascii="黑体" w:hAnsi="黑体" w:eastAsia="黑体" w:cs="宋体"/>
          <w:color w:val="auto"/>
          <w:lang w:val="en-US" w:eastAsia="zh-CN"/>
        </w:rPr>
        <w:t>，</w:t>
      </w:r>
      <w:r>
        <w:rPr>
          <w:rFonts w:hint="eastAsia" w:ascii="黑体" w:hAnsi="黑体" w:eastAsia="黑体" w:cs="宋体"/>
          <w:color w:val="auto"/>
          <w:lang w:val="en-US" w:eastAsia="zh-CN"/>
        </w:rPr>
        <w:t>不管使用与否均</w:t>
      </w:r>
      <w:r>
        <w:rPr>
          <w:rFonts w:hint="default" w:ascii="黑体" w:hAnsi="黑体" w:eastAsia="黑体" w:cs="宋体"/>
          <w:color w:val="auto"/>
          <w:lang w:val="en-US" w:eastAsia="zh-CN"/>
        </w:rPr>
        <w:t>视同一次服务已完成；</w:t>
      </w:r>
    </w:p>
    <w:p>
      <w:pPr>
        <w:numPr>
          <w:ilvl w:val="0"/>
          <w:numId w:val="0"/>
        </w:numPr>
        <w:spacing w:line="360" w:lineRule="auto"/>
        <w:ind w:firstLine="480" w:firstLineChars="200"/>
        <w:rPr>
          <w:rFonts w:hint="default" w:ascii="黑体" w:hAnsi="黑体" w:eastAsia="黑体" w:cs="宋体"/>
          <w:lang w:val="en-US" w:eastAsia="zh-CN"/>
        </w:rPr>
      </w:pPr>
      <w:r>
        <w:rPr>
          <w:rFonts w:hint="default" w:ascii="黑体" w:hAnsi="黑体" w:eastAsia="黑体" w:cs="宋体"/>
          <w:lang w:val="en-US" w:eastAsia="zh-CN"/>
        </w:rPr>
        <w:t>（</w:t>
      </w:r>
      <w:r>
        <w:rPr>
          <w:rFonts w:hint="eastAsia" w:ascii="黑体" w:hAnsi="黑体" w:eastAsia="黑体" w:cs="宋体"/>
          <w:lang w:val="en-US" w:eastAsia="zh-CN"/>
        </w:rPr>
        <w:t>3</w:t>
      </w:r>
      <w:r>
        <w:rPr>
          <w:rFonts w:hint="default" w:ascii="黑体" w:hAnsi="黑体" w:eastAsia="黑体" w:cs="宋体"/>
          <w:lang w:val="en-US" w:eastAsia="zh-CN"/>
        </w:rPr>
        <w:t>）特殊情况下，部分权威专家可能会因院方安排临时停诊。会</w:t>
      </w:r>
      <w:r>
        <w:rPr>
          <w:rFonts w:hint="eastAsia" w:ascii="黑体" w:hAnsi="黑体" w:eastAsia="黑体" w:cs="宋体"/>
          <w:lang w:val="en-US" w:eastAsia="zh-CN"/>
        </w:rPr>
        <w:t>向您</w:t>
      </w:r>
      <w:r>
        <w:rPr>
          <w:rFonts w:hint="default" w:ascii="黑体" w:hAnsi="黑体" w:eastAsia="黑体" w:cs="宋体"/>
          <w:lang w:val="en-US" w:eastAsia="zh-CN"/>
        </w:rPr>
        <w:t>征求意见，协调当天同科室其他专家接诊或延期到原定专家的下一个出诊日就诊；</w:t>
      </w:r>
    </w:p>
    <w:p>
      <w:pPr>
        <w:numPr>
          <w:ilvl w:val="0"/>
          <w:numId w:val="0"/>
        </w:numPr>
        <w:spacing w:line="360" w:lineRule="auto"/>
        <w:ind w:firstLine="480" w:firstLineChars="200"/>
        <w:rPr>
          <w:rFonts w:hint="default" w:ascii="黑体" w:hAnsi="黑体" w:eastAsia="黑体" w:cs="宋体"/>
          <w:lang w:val="en-US" w:eastAsia="zh-CN"/>
        </w:rPr>
      </w:pPr>
      <w:r>
        <w:rPr>
          <w:rFonts w:hint="default" w:ascii="黑体" w:hAnsi="黑体" w:eastAsia="黑体" w:cs="宋体"/>
          <w:lang w:val="en-US" w:eastAsia="zh-CN"/>
        </w:rPr>
        <w:t>（</w:t>
      </w:r>
      <w:r>
        <w:rPr>
          <w:rFonts w:hint="eastAsia" w:ascii="黑体" w:hAnsi="黑体" w:eastAsia="黑体" w:cs="宋体"/>
          <w:lang w:val="en-US" w:eastAsia="zh-CN"/>
        </w:rPr>
        <w:t>4</w:t>
      </w:r>
      <w:r>
        <w:rPr>
          <w:rFonts w:hint="default" w:ascii="黑体" w:hAnsi="黑体" w:eastAsia="黑体" w:cs="宋体"/>
          <w:lang w:val="en-US" w:eastAsia="zh-CN"/>
        </w:rPr>
        <w:t>）重疾绿通服务的合作医院网络将不断增加、调整，请及时登录国宝人寿官方微信关注。若合作医院网络有调整，以网上更新后的内容为准；</w:t>
      </w:r>
    </w:p>
    <w:p>
      <w:pPr>
        <w:numPr>
          <w:ilvl w:val="0"/>
          <w:numId w:val="0"/>
        </w:numPr>
        <w:spacing w:line="360" w:lineRule="auto"/>
        <w:ind w:firstLine="480" w:firstLineChars="200"/>
        <w:rPr>
          <w:rFonts w:hint="default" w:ascii="黑体" w:hAnsi="黑体" w:eastAsia="黑体" w:cs="宋体"/>
          <w:lang w:val="en-US" w:eastAsia="zh-CN"/>
        </w:rPr>
      </w:pPr>
      <w:r>
        <w:rPr>
          <w:rFonts w:hint="default" w:ascii="黑体" w:hAnsi="黑体" w:eastAsia="黑体" w:cs="宋体"/>
          <w:lang w:val="en-US" w:eastAsia="zh-CN"/>
        </w:rPr>
        <w:t>（</w:t>
      </w:r>
      <w:r>
        <w:rPr>
          <w:rFonts w:hint="eastAsia" w:ascii="黑体" w:hAnsi="黑体" w:eastAsia="黑体" w:cs="宋体"/>
          <w:lang w:val="en-US" w:eastAsia="zh-CN"/>
        </w:rPr>
        <w:t>5</w:t>
      </w:r>
      <w:r>
        <w:rPr>
          <w:rFonts w:hint="default" w:ascii="黑体" w:hAnsi="黑体" w:eastAsia="黑体" w:cs="宋体"/>
          <w:lang w:val="en-US" w:eastAsia="zh-CN"/>
        </w:rPr>
        <w:t>）我公司提供重疾绿通服务与否，均不作为理赔的依据；</w:t>
      </w:r>
    </w:p>
    <w:p>
      <w:pPr>
        <w:numPr>
          <w:ilvl w:val="0"/>
          <w:numId w:val="0"/>
        </w:numPr>
        <w:spacing w:line="360" w:lineRule="auto"/>
        <w:ind w:firstLine="480" w:firstLineChars="200"/>
        <w:rPr>
          <w:rFonts w:hint="default" w:ascii="黑体" w:hAnsi="黑体" w:eastAsia="黑体" w:cs="宋体"/>
          <w:lang w:val="en-US" w:eastAsia="zh-CN"/>
        </w:rPr>
      </w:pPr>
    </w:p>
    <w:p>
      <w:pPr>
        <w:numPr>
          <w:ilvl w:val="0"/>
          <w:numId w:val="0"/>
        </w:numPr>
        <w:spacing w:line="360" w:lineRule="auto"/>
        <w:rPr>
          <w:rFonts w:hint="eastAsia" w:ascii="黑体" w:hAnsi="黑体" w:eastAsia="黑体" w:cs="宋体"/>
          <w:b/>
          <w:bCs/>
          <w:lang w:eastAsia="zh-CN"/>
        </w:rPr>
      </w:pPr>
      <w:r>
        <w:rPr>
          <w:rFonts w:hint="eastAsia" w:ascii="黑体" w:hAnsi="黑体" w:eastAsia="黑体" w:cs="宋体"/>
          <w:b/>
          <w:bCs/>
          <w:lang w:eastAsia="zh-CN"/>
        </w:rPr>
        <w:t>二、住院医疗费用垫付服务</w:t>
      </w:r>
    </w:p>
    <w:p>
      <w:pPr>
        <w:numPr>
          <w:ilvl w:val="0"/>
          <w:numId w:val="0"/>
        </w:numPr>
        <w:spacing w:line="360" w:lineRule="auto"/>
        <w:ind w:firstLine="480" w:firstLineChars="200"/>
        <w:rPr>
          <w:rFonts w:hint="eastAsia" w:ascii="黑体" w:hAnsi="黑体" w:eastAsia="黑体" w:cs="宋体"/>
          <w:lang w:eastAsia="zh-CN"/>
        </w:rPr>
      </w:pPr>
      <w:r>
        <w:rPr>
          <w:rFonts w:hint="eastAsia" w:ascii="黑体" w:hAnsi="黑体" w:eastAsia="黑体" w:cs="宋体"/>
          <w:lang w:eastAsia="zh-CN"/>
        </w:rPr>
        <w:t>住院医疗费用垫付服务是我公司为投保《国宝人寿医保康医疗保险》（含保证续保版）等特定医疗保险的被保人提供的医疗服务。〔该项服务由我公司与“上海商涌科技有限公司”（以下简称商涌科技）合作提供〕</w:t>
      </w:r>
    </w:p>
    <w:p>
      <w:pPr>
        <w:numPr>
          <w:ilvl w:val="0"/>
          <w:numId w:val="12"/>
        </w:numPr>
        <w:spacing w:line="360" w:lineRule="auto"/>
        <w:rPr>
          <w:rFonts w:hint="default" w:ascii="黑体" w:hAnsi="黑体" w:eastAsia="黑体" w:cs="宋体"/>
          <w:b/>
          <w:bCs/>
          <w:lang w:val="en-US" w:eastAsia="zh-CN"/>
        </w:rPr>
      </w:pPr>
      <w:r>
        <w:rPr>
          <w:rFonts w:hint="eastAsia" w:ascii="黑体" w:hAnsi="黑体" w:eastAsia="黑体" w:cs="宋体"/>
          <w:b/>
          <w:bCs/>
          <w:lang w:val="en-US" w:eastAsia="zh-CN"/>
        </w:rPr>
        <w:t>服务内容：</w:t>
      </w:r>
      <w:r>
        <w:rPr>
          <w:rFonts w:hint="eastAsia" w:ascii="黑体" w:hAnsi="黑体" w:eastAsia="黑体" w:cs="宋体"/>
          <w:lang w:eastAsia="zh-CN"/>
        </w:rPr>
        <w:t>指为被保人在住院时，提供的医疗费用垫付服务，所有被保人均享受相同的服务内容。</w:t>
      </w:r>
    </w:p>
    <w:p>
      <w:pPr>
        <w:numPr>
          <w:ilvl w:val="0"/>
          <w:numId w:val="12"/>
        </w:numPr>
        <w:spacing w:line="360" w:lineRule="auto"/>
        <w:rPr>
          <w:rFonts w:hint="eastAsia" w:ascii="黑体" w:hAnsi="黑体" w:eastAsia="黑体" w:cs="宋体"/>
          <w:b/>
          <w:bCs/>
          <w:lang w:val="en-US" w:eastAsia="zh-CN"/>
        </w:rPr>
      </w:pPr>
      <w:r>
        <w:rPr>
          <w:rFonts w:hint="eastAsia" w:ascii="黑体" w:hAnsi="黑体" w:eastAsia="黑体" w:cs="宋体"/>
          <w:b/>
          <w:bCs/>
          <w:lang w:val="en-US" w:eastAsia="zh-CN"/>
        </w:rPr>
        <w:t>服务生效日期:</w:t>
      </w:r>
    </w:p>
    <w:p>
      <w:pPr>
        <w:numPr>
          <w:ilvl w:val="0"/>
          <w:numId w:val="0"/>
        </w:numPr>
        <w:spacing w:line="360" w:lineRule="auto"/>
        <w:ind w:firstLine="480" w:firstLineChars="200"/>
        <w:rPr>
          <w:rFonts w:hint="eastAsia" w:ascii="黑体" w:hAnsi="黑体" w:eastAsia="黑体" w:cs="宋体"/>
          <w:color w:val="auto"/>
          <w:lang w:val="en-US" w:eastAsia="zh-CN"/>
        </w:rPr>
      </w:pPr>
      <w:r>
        <w:rPr>
          <w:rFonts w:hint="eastAsia" w:ascii="黑体" w:hAnsi="黑体" w:eastAsia="黑体" w:cs="宋体"/>
          <w:color w:val="auto"/>
          <w:lang w:val="en-US" w:eastAsia="zh-CN"/>
        </w:rPr>
        <w:t>住院医疗费用垫付服务在保单等待期后的次日生效，服务生效后您即可申请使用该项服务。</w:t>
      </w:r>
    </w:p>
    <w:p>
      <w:pPr>
        <w:numPr>
          <w:ilvl w:val="0"/>
          <w:numId w:val="0"/>
        </w:numPr>
        <w:spacing w:line="360" w:lineRule="auto"/>
        <w:ind w:firstLine="480" w:firstLineChars="200"/>
        <w:rPr>
          <w:rFonts w:hint="eastAsia" w:ascii="黑体" w:hAnsi="黑体" w:eastAsia="黑体" w:cs="宋体"/>
          <w:color w:val="auto"/>
          <w:lang w:val="en-US" w:eastAsia="zh-CN"/>
        </w:rPr>
      </w:pPr>
      <w:r>
        <w:rPr>
          <w:rFonts w:hint="eastAsia" w:ascii="黑体" w:hAnsi="黑体" w:eastAsia="黑体" w:cs="宋体"/>
          <w:color w:val="auto"/>
          <w:lang w:val="en-US" w:eastAsia="zh-CN"/>
        </w:rPr>
        <w:t>保险期间届满、退保、失效或者服务到期等情况，您的服务将终止。</w:t>
      </w:r>
    </w:p>
    <w:p>
      <w:pPr>
        <w:numPr>
          <w:ilvl w:val="0"/>
          <w:numId w:val="12"/>
        </w:numPr>
        <w:spacing w:line="360" w:lineRule="auto"/>
        <w:rPr>
          <w:rFonts w:hint="eastAsia" w:ascii="黑体" w:hAnsi="黑体" w:eastAsia="黑体" w:cs="宋体"/>
          <w:b/>
          <w:bCs/>
          <w:lang w:val="en-US" w:eastAsia="zh-CN"/>
        </w:rPr>
      </w:pPr>
      <w:r>
        <w:rPr>
          <w:rFonts w:hint="eastAsia" w:ascii="黑体" w:hAnsi="黑体" w:eastAsia="黑体" w:cs="宋体"/>
          <w:b/>
          <w:bCs/>
          <w:lang w:val="en-US" w:eastAsia="zh-CN"/>
        </w:rPr>
        <w:t>服务使用方式：</w:t>
      </w:r>
    </w:p>
    <w:p>
      <w:pPr>
        <w:spacing w:line="360" w:lineRule="auto"/>
        <w:ind w:firstLine="480"/>
        <w:rPr>
          <w:rFonts w:hint="eastAsia" w:ascii="黑体" w:hAnsi="黑体" w:eastAsia="黑体" w:cs="宋体"/>
        </w:rPr>
      </w:pPr>
      <w:r>
        <w:rPr>
          <w:rFonts w:hint="eastAsia" w:ascii="黑体" w:hAnsi="黑体" w:eastAsia="黑体" w:cs="宋体"/>
        </w:rPr>
        <w:t>您可拨打国宝人寿服务</w:t>
      </w:r>
      <w:r>
        <w:rPr>
          <w:rFonts w:hint="eastAsia" w:ascii="黑体" w:hAnsi="黑体" w:eastAsia="黑体" w:cs="宋体"/>
          <w:lang w:eastAsia="zh-CN"/>
        </w:rPr>
        <w:t>热</w:t>
      </w:r>
      <w:r>
        <w:rPr>
          <w:rFonts w:hint="eastAsia" w:ascii="黑体" w:hAnsi="黑体" w:eastAsia="黑体" w:cs="宋体"/>
        </w:rPr>
        <w:t>线028-96555，提供被保人姓名和证件号码申请。</w:t>
      </w:r>
    </w:p>
    <w:p>
      <w:pPr>
        <w:numPr>
          <w:ilvl w:val="0"/>
          <w:numId w:val="12"/>
        </w:numPr>
        <w:spacing w:line="360" w:lineRule="auto"/>
        <w:rPr>
          <w:rFonts w:hint="default" w:ascii="黑体" w:hAnsi="黑体" w:eastAsia="黑体" w:cs="宋体"/>
          <w:b/>
          <w:bCs/>
          <w:lang w:val="en-US" w:eastAsia="zh-CN"/>
        </w:rPr>
      </w:pPr>
      <w:r>
        <w:rPr>
          <w:rFonts w:hint="eastAsia" w:ascii="黑体" w:hAnsi="黑体" w:eastAsia="黑体" w:cs="宋体"/>
          <w:b/>
          <w:bCs/>
          <w:lang w:val="en-US" w:eastAsia="zh-CN"/>
        </w:rPr>
        <w:t>服务具体内容释义：</w:t>
      </w:r>
    </w:p>
    <w:p>
      <w:pPr>
        <w:numPr>
          <w:ilvl w:val="0"/>
          <w:numId w:val="0"/>
        </w:numPr>
        <w:spacing w:line="360" w:lineRule="auto"/>
        <w:ind w:firstLine="480" w:firstLineChars="200"/>
        <w:rPr>
          <w:rFonts w:hint="eastAsia" w:ascii="黑体" w:hAnsi="黑体" w:eastAsia="黑体" w:cs="宋体"/>
          <w:lang w:val="en-US" w:eastAsia="zh-CN"/>
        </w:rPr>
      </w:pPr>
      <w:r>
        <w:rPr>
          <w:rFonts w:hint="eastAsia" w:ascii="黑体" w:hAnsi="黑体" w:eastAsia="黑体" w:cs="宋体"/>
          <w:lang w:val="en-US" w:eastAsia="zh-CN"/>
        </w:rPr>
        <w:t>在服务期限内，您可根据实际需要提出申请，详细服务内容介绍如下：</w:t>
      </w:r>
    </w:p>
    <w:p>
      <w:pPr>
        <w:numPr>
          <w:ilvl w:val="0"/>
          <w:numId w:val="0"/>
        </w:numPr>
        <w:spacing w:line="360" w:lineRule="auto"/>
        <w:ind w:firstLine="480" w:firstLineChars="200"/>
        <w:rPr>
          <w:rFonts w:hint="eastAsia" w:ascii="黑体" w:hAnsi="黑体" w:eastAsia="黑体" w:cs="宋体"/>
          <w:lang w:val="en-US" w:eastAsia="zh-CN"/>
        </w:rPr>
      </w:pPr>
      <w:r>
        <w:rPr>
          <w:rFonts w:hint="eastAsia" w:ascii="黑体" w:hAnsi="黑体" w:eastAsia="黑体" w:cs="宋体"/>
          <w:lang w:val="en-US" w:eastAsia="zh-CN"/>
        </w:rPr>
        <w:t>(1)住院医疗费用垫付：您入住指定医院后，经商涌科技判断符合保险责任和风控要求且您同意签署相应材料后，24小时内您即可根据商涌科技给予的额度垫付医疗费用；</w:t>
      </w:r>
    </w:p>
    <w:p>
      <w:pPr>
        <w:numPr>
          <w:ilvl w:val="0"/>
          <w:numId w:val="0"/>
        </w:numPr>
        <w:spacing w:line="360" w:lineRule="auto"/>
        <w:ind w:firstLine="480" w:firstLineChars="200"/>
        <w:rPr>
          <w:rFonts w:hint="eastAsia" w:ascii="黑体" w:hAnsi="黑体" w:eastAsia="黑体" w:cs="宋体"/>
          <w:lang w:val="en-US" w:eastAsia="zh-CN"/>
        </w:rPr>
      </w:pPr>
      <w:r>
        <w:rPr>
          <w:rFonts w:hint="eastAsia" w:ascii="黑体" w:hAnsi="黑体" w:eastAsia="黑体" w:cs="宋体"/>
          <w:lang w:val="en-US" w:eastAsia="zh-CN"/>
        </w:rPr>
        <w:t>（2）治疗过程跟踪和评估：住院期间，商涌科技会与您沟通保险责任、病情、治疗及费用，已交押金不足时根据实际情况追加垫付金额，并向您及时通报垫付结果；</w:t>
      </w:r>
    </w:p>
    <w:p>
      <w:pPr>
        <w:numPr>
          <w:ilvl w:val="0"/>
          <w:numId w:val="0"/>
        </w:numPr>
        <w:spacing w:line="360" w:lineRule="auto"/>
        <w:ind w:firstLine="480" w:firstLineChars="200"/>
        <w:rPr>
          <w:rFonts w:hint="eastAsia" w:ascii="黑体" w:hAnsi="黑体" w:eastAsia="黑体" w:cs="宋体"/>
          <w:lang w:val="en-US" w:eastAsia="zh-CN"/>
        </w:rPr>
      </w:pPr>
      <w:r>
        <w:rPr>
          <w:rFonts w:hint="eastAsia" w:ascii="黑体" w:hAnsi="黑体" w:eastAsia="黑体" w:cs="宋体"/>
          <w:lang w:val="en-US" w:eastAsia="zh-CN"/>
        </w:rPr>
        <w:t>（3）代为理赔：商涌科技会协助您办理出院结算，与医院结清担保或垫付的医疗费用，收集理赔文件，并向我公司提出理赔申请。</w:t>
      </w:r>
    </w:p>
    <w:p>
      <w:pPr>
        <w:numPr>
          <w:ilvl w:val="0"/>
          <w:numId w:val="12"/>
        </w:numPr>
        <w:spacing w:line="360" w:lineRule="auto"/>
        <w:rPr>
          <w:rFonts w:hint="default" w:ascii="黑体" w:hAnsi="黑体" w:eastAsia="黑体" w:cs="宋体"/>
          <w:b/>
          <w:bCs/>
          <w:lang w:val="en-US" w:eastAsia="zh-CN"/>
        </w:rPr>
      </w:pPr>
      <w:r>
        <w:rPr>
          <w:rFonts w:hint="eastAsia" w:ascii="黑体" w:hAnsi="黑体" w:eastAsia="黑体" w:cs="宋体"/>
          <w:b/>
          <w:bCs/>
          <w:lang w:val="en-US" w:eastAsia="zh-CN"/>
        </w:rPr>
        <w:t>服务条件介绍：</w:t>
      </w:r>
    </w:p>
    <w:p>
      <w:pPr>
        <w:numPr>
          <w:ilvl w:val="0"/>
          <w:numId w:val="0"/>
        </w:numPr>
        <w:spacing w:line="360" w:lineRule="auto"/>
        <w:ind w:firstLine="480" w:firstLineChars="200"/>
        <w:rPr>
          <w:rFonts w:hint="eastAsia" w:ascii="黑体" w:hAnsi="黑体" w:eastAsia="黑体" w:cs="宋体"/>
          <w:lang w:val="en-US" w:eastAsia="zh-CN"/>
        </w:rPr>
      </w:pPr>
      <w:r>
        <w:rPr>
          <w:rFonts w:hint="eastAsia" w:ascii="黑体" w:hAnsi="黑体" w:eastAsia="黑体" w:cs="宋体"/>
          <w:lang w:val="en-US" w:eastAsia="zh-CN"/>
        </w:rPr>
        <w:t>（1）您的出险时间在保单有效期内，且符合保险条款的相关约定（如等待期所产生的医疗费用不在保险责任内、既往症限制等）；</w:t>
      </w:r>
    </w:p>
    <w:p>
      <w:pPr>
        <w:numPr>
          <w:ilvl w:val="0"/>
          <w:numId w:val="0"/>
        </w:numPr>
        <w:spacing w:line="360" w:lineRule="auto"/>
        <w:ind w:firstLine="480" w:firstLineChars="200"/>
        <w:rPr>
          <w:rFonts w:hint="eastAsia" w:ascii="黑体" w:hAnsi="黑体" w:eastAsia="黑体" w:cs="宋体"/>
          <w:lang w:val="en-US" w:eastAsia="zh-CN"/>
        </w:rPr>
      </w:pPr>
      <w:r>
        <w:rPr>
          <w:rFonts w:hint="eastAsia" w:ascii="黑体" w:hAnsi="黑体" w:eastAsia="黑体" w:cs="宋体"/>
          <w:lang w:val="en-US" w:eastAsia="zh-CN"/>
        </w:rPr>
        <w:t>（2）本服务不包含任何门/急诊垫付；</w:t>
      </w:r>
    </w:p>
    <w:p>
      <w:pPr>
        <w:numPr>
          <w:ilvl w:val="0"/>
          <w:numId w:val="0"/>
        </w:numPr>
        <w:spacing w:line="360" w:lineRule="auto"/>
        <w:ind w:firstLine="480" w:firstLineChars="200"/>
        <w:rPr>
          <w:rFonts w:hint="eastAsia" w:ascii="黑体" w:hAnsi="黑体" w:eastAsia="黑体" w:cs="宋体"/>
          <w:color w:val="FF0000"/>
          <w:lang w:val="en-US" w:eastAsia="zh-CN"/>
        </w:rPr>
      </w:pPr>
      <w:r>
        <w:rPr>
          <w:rFonts w:hint="eastAsia" w:ascii="黑体" w:hAnsi="黑体" w:eastAsia="黑体" w:cs="宋体"/>
          <w:lang w:val="en-US" w:eastAsia="zh-CN"/>
        </w:rPr>
        <w:t>（3）您须在入院</w:t>
      </w:r>
      <w:r>
        <w:rPr>
          <w:rFonts w:hint="eastAsia" w:ascii="黑体" w:hAnsi="黑体" w:eastAsia="黑体" w:cs="宋体"/>
          <w:color w:val="auto"/>
          <w:lang w:val="en-US" w:eastAsia="zh-CN"/>
        </w:rPr>
        <w:t>前拨打国宝人寿服务专线028-96555向我公司报案。</w:t>
      </w:r>
    </w:p>
    <w:p>
      <w:pPr>
        <w:numPr>
          <w:ilvl w:val="0"/>
          <w:numId w:val="0"/>
        </w:numPr>
        <w:spacing w:line="360" w:lineRule="auto"/>
        <w:ind w:firstLine="480" w:firstLineChars="200"/>
        <w:rPr>
          <w:rFonts w:hint="eastAsia" w:ascii="黑体" w:hAnsi="黑体" w:eastAsia="黑体" w:cs="宋体"/>
          <w:color w:val="auto"/>
          <w:lang w:val="en-US" w:eastAsia="zh-CN"/>
        </w:rPr>
      </w:pPr>
      <w:r>
        <w:rPr>
          <w:rFonts w:hint="eastAsia" w:ascii="黑体" w:hAnsi="黑体" w:eastAsia="黑体" w:cs="宋体"/>
          <w:color w:val="auto"/>
          <w:lang w:val="en-US" w:eastAsia="zh-CN"/>
        </w:rPr>
        <w:t>（4）您须在执行垫付前配合提供及签署相关文件，包括：真实有效的理赔申请书/理赔授权委托书、有效证件复印件、门急诊病历或其他与本事件相关的证明文件等，理赔授权委托书模板详见“</w:t>
      </w:r>
      <w:r>
        <w:rPr>
          <w:rFonts w:hint="eastAsia" w:ascii="黑体" w:hAnsi="黑体" w:eastAsia="黑体" w:cs="宋体"/>
          <w:b/>
          <w:bCs/>
          <w:color w:val="auto"/>
          <w:lang w:val="en-US" w:eastAsia="zh-CN"/>
        </w:rPr>
        <w:t>附件5：理赔授权委托书</w:t>
      </w:r>
      <w:r>
        <w:rPr>
          <w:rFonts w:hint="eastAsia" w:ascii="黑体" w:hAnsi="黑体" w:eastAsia="黑体" w:cs="宋体"/>
          <w:color w:val="auto"/>
          <w:lang w:val="en-US" w:eastAsia="zh-CN"/>
        </w:rPr>
        <w:t>”；</w:t>
      </w:r>
    </w:p>
    <w:p>
      <w:pPr>
        <w:numPr>
          <w:ilvl w:val="0"/>
          <w:numId w:val="0"/>
        </w:numPr>
        <w:spacing w:line="360" w:lineRule="auto"/>
        <w:ind w:firstLine="480" w:firstLineChars="200"/>
        <w:rPr>
          <w:rFonts w:hint="eastAsia" w:ascii="黑体" w:hAnsi="黑体" w:eastAsia="黑体" w:cs="宋体"/>
          <w:lang w:val="en-US" w:eastAsia="zh-CN"/>
        </w:rPr>
      </w:pPr>
      <w:r>
        <w:rPr>
          <w:rFonts w:hint="eastAsia" w:ascii="黑体" w:hAnsi="黑体" w:eastAsia="黑体" w:cs="宋体"/>
          <w:lang w:val="en-US" w:eastAsia="zh-CN"/>
        </w:rPr>
        <w:t>（5）您须在指定的医院住院，医院列表详见“</w:t>
      </w:r>
      <w:r>
        <w:rPr>
          <w:rFonts w:hint="eastAsia" w:ascii="黑体" w:hAnsi="黑体" w:eastAsia="黑体" w:cs="宋体"/>
          <w:b/>
          <w:bCs/>
          <w:lang w:val="en-US" w:eastAsia="zh-CN"/>
        </w:rPr>
        <w:t>附件6：住院医疗费用垫付医院列表</w:t>
      </w:r>
      <w:r>
        <w:rPr>
          <w:rFonts w:hint="eastAsia" w:ascii="黑体" w:hAnsi="黑体" w:eastAsia="黑体" w:cs="宋体"/>
          <w:lang w:val="en-US" w:eastAsia="zh-CN"/>
        </w:rPr>
        <w:t>”</w:t>
      </w:r>
    </w:p>
    <w:p>
      <w:pPr>
        <w:numPr>
          <w:ilvl w:val="0"/>
          <w:numId w:val="0"/>
        </w:numPr>
        <w:spacing w:line="360" w:lineRule="auto"/>
        <w:ind w:firstLine="480" w:firstLineChars="200"/>
        <w:rPr>
          <w:rFonts w:hint="eastAsia" w:ascii="黑体" w:hAnsi="黑体" w:eastAsia="黑体" w:cs="宋体"/>
          <w:color w:val="auto"/>
          <w:lang w:val="en-US" w:eastAsia="zh-CN"/>
        </w:rPr>
      </w:pPr>
      <w:r>
        <w:rPr>
          <w:rFonts w:hint="eastAsia" w:ascii="黑体" w:hAnsi="黑体" w:eastAsia="黑体" w:cs="宋体"/>
          <w:lang w:val="en-US" w:eastAsia="zh-CN"/>
        </w:rPr>
        <w:t>（6）您须同意</w:t>
      </w:r>
      <w:r>
        <w:rPr>
          <w:rFonts w:hint="eastAsia" w:ascii="黑体" w:hAnsi="黑体" w:eastAsia="黑体" w:cs="宋体"/>
          <w:color w:val="auto"/>
          <w:lang w:val="en-US" w:eastAsia="zh-CN"/>
        </w:rPr>
        <w:t xml:space="preserve">先行向医院支付保险责任外的免赔额、超限额、医保报销等需自付的费用，商涌科技垫付保险责任内的合理、合规的医疗费用； </w:t>
      </w:r>
    </w:p>
    <w:p>
      <w:pPr>
        <w:numPr>
          <w:ilvl w:val="0"/>
          <w:numId w:val="0"/>
        </w:numPr>
        <w:spacing w:line="360" w:lineRule="auto"/>
        <w:ind w:firstLine="480" w:firstLineChars="200"/>
        <w:rPr>
          <w:rFonts w:hint="eastAsia" w:ascii="黑体" w:hAnsi="黑体" w:eastAsia="黑体" w:cs="宋体"/>
          <w:color w:val="auto"/>
          <w:lang w:val="en-US" w:eastAsia="zh-CN"/>
        </w:rPr>
      </w:pPr>
      <w:r>
        <w:rPr>
          <w:rFonts w:hint="eastAsia" w:ascii="黑体" w:hAnsi="黑体" w:eastAsia="黑体" w:cs="宋体"/>
          <w:color w:val="auto"/>
          <w:lang w:val="en-US" w:eastAsia="zh-CN"/>
        </w:rPr>
        <w:t>（7）您须提前通知乙方出院时间，并提供诊治的医疗机构的医疗文件（包括全部住院押金条、出院小结、诊断证明、费用清单、原始发票，必要时提供病历等）交予商涌科技，由商涌科技协助您办理出院结算和申请理赔，不得自行申请理赔。</w:t>
      </w:r>
    </w:p>
    <w:p>
      <w:pPr>
        <w:numPr>
          <w:ilvl w:val="0"/>
          <w:numId w:val="0"/>
        </w:numPr>
        <w:spacing w:line="360" w:lineRule="auto"/>
        <w:ind w:firstLine="480" w:firstLineChars="200"/>
        <w:rPr>
          <w:rFonts w:hint="eastAsia" w:ascii="黑体" w:hAnsi="黑体" w:eastAsia="黑体" w:cs="宋体"/>
          <w:color w:val="auto"/>
          <w:lang w:val="en-US" w:eastAsia="zh-CN"/>
        </w:rPr>
      </w:pPr>
      <w:r>
        <w:rPr>
          <w:rFonts w:hint="eastAsia" w:ascii="黑体" w:hAnsi="黑体" w:eastAsia="黑体" w:cs="宋体"/>
          <w:color w:val="auto"/>
          <w:lang w:val="en-US" w:eastAsia="zh-CN"/>
        </w:rPr>
        <w:t>您须提前通知商涌科技出院时间，并同意提供与本次住院相关的医疗文件（包括全部住院押金条、出院小结、诊断证明、费用清单、原始发票，必要时提供病历等），交予商涌科技代为办理出院结算和申请理赔，不得自行结算，医院退款（包括个人押金及垫付余款）及时退还至商涌科技指定账户，待理赔结束后由商涌科技根据理赔批单进行保险金差额结算；</w:t>
      </w:r>
    </w:p>
    <w:p>
      <w:pPr>
        <w:numPr>
          <w:ilvl w:val="0"/>
          <w:numId w:val="0"/>
        </w:numPr>
        <w:spacing w:line="360" w:lineRule="auto"/>
        <w:ind w:firstLine="480" w:firstLineChars="200"/>
        <w:rPr>
          <w:rFonts w:hint="default" w:ascii="黑体" w:hAnsi="黑体" w:eastAsia="黑体" w:cs="宋体"/>
          <w:b/>
          <w:bCs/>
          <w:lang w:val="en-US" w:eastAsia="zh-CN"/>
        </w:rPr>
      </w:pPr>
      <w:r>
        <w:rPr>
          <w:rFonts w:hint="eastAsia" w:ascii="黑体" w:hAnsi="黑体" w:eastAsia="黑体" w:cs="宋体"/>
          <w:color w:val="auto"/>
          <w:lang w:val="en-US" w:eastAsia="zh-CN"/>
        </w:rPr>
        <w:t>（8）免责范围：具体详见“</w:t>
      </w:r>
      <w:r>
        <w:rPr>
          <w:rFonts w:hint="eastAsia" w:ascii="黑体" w:hAnsi="黑体" w:eastAsia="黑体" w:cs="宋体"/>
          <w:b/>
          <w:bCs/>
          <w:color w:val="auto"/>
          <w:lang w:val="en-US" w:eastAsia="zh-CN"/>
        </w:rPr>
        <w:t>附件7：住院医疗费用垫付免责范围</w:t>
      </w:r>
      <w:r>
        <w:rPr>
          <w:rFonts w:hint="eastAsia" w:ascii="黑体" w:hAnsi="黑体" w:eastAsia="黑体" w:cs="宋体"/>
          <w:color w:val="auto"/>
          <w:lang w:val="en-US" w:eastAsia="zh-CN"/>
        </w:rPr>
        <w:t>”。</w:t>
      </w:r>
    </w:p>
    <w:p>
      <w:pPr>
        <w:numPr>
          <w:ilvl w:val="0"/>
          <w:numId w:val="12"/>
        </w:numPr>
        <w:spacing w:line="360" w:lineRule="auto"/>
        <w:rPr>
          <w:rFonts w:hint="default" w:ascii="黑体" w:hAnsi="黑体" w:eastAsia="黑体" w:cs="宋体"/>
          <w:b/>
          <w:bCs/>
          <w:lang w:val="en-US" w:eastAsia="zh-CN"/>
        </w:rPr>
      </w:pPr>
      <w:r>
        <w:rPr>
          <w:rFonts w:hint="eastAsia" w:ascii="黑体" w:hAnsi="黑体" w:eastAsia="黑体" w:cs="宋体"/>
          <w:b/>
          <w:bCs/>
          <w:lang w:val="en-US" w:eastAsia="zh-CN"/>
        </w:rPr>
        <w:t>服务险种：</w:t>
      </w:r>
    </w:p>
    <w:p>
      <w:pPr>
        <w:numPr>
          <w:ilvl w:val="0"/>
          <w:numId w:val="0"/>
        </w:numPr>
        <w:spacing w:line="360" w:lineRule="auto"/>
        <w:ind w:firstLine="480" w:firstLineChars="200"/>
        <w:rPr>
          <w:rFonts w:hint="default" w:ascii="黑体" w:hAnsi="黑体" w:eastAsia="黑体" w:cs="宋体"/>
          <w:b/>
          <w:bCs/>
          <w:lang w:val="en-US" w:eastAsia="zh-CN"/>
        </w:rPr>
      </w:pPr>
      <w:r>
        <w:rPr>
          <w:rFonts w:hint="eastAsia" w:ascii="黑体" w:hAnsi="黑体" w:eastAsia="黑体" w:cs="宋体"/>
          <w:lang w:val="en-US" w:eastAsia="zh-CN"/>
        </w:rPr>
        <w:t>服务险种详见“</w:t>
      </w:r>
      <w:r>
        <w:rPr>
          <w:rFonts w:hint="eastAsia" w:ascii="黑体" w:hAnsi="黑体" w:eastAsia="黑体" w:cs="宋体"/>
          <w:b/>
          <w:bCs/>
          <w:lang w:val="en-US" w:eastAsia="zh-CN"/>
        </w:rPr>
        <w:t>附件4：服务险种列表</w:t>
      </w:r>
      <w:r>
        <w:rPr>
          <w:rFonts w:hint="eastAsia" w:ascii="黑体" w:hAnsi="黑体" w:eastAsia="黑体" w:cs="宋体"/>
          <w:lang w:val="en-US" w:eastAsia="zh-CN"/>
        </w:rPr>
        <w:t>”。</w:t>
      </w:r>
    </w:p>
    <w:p>
      <w:pPr>
        <w:numPr>
          <w:ilvl w:val="0"/>
          <w:numId w:val="0"/>
        </w:numPr>
        <w:spacing w:line="360" w:lineRule="auto"/>
        <w:ind w:firstLine="480" w:firstLineChars="200"/>
        <w:rPr>
          <w:rFonts w:hint="default" w:ascii="黑体" w:hAnsi="黑体" w:eastAsia="黑体" w:cs="宋体"/>
          <w:color w:val="auto"/>
          <w:lang w:val="en-US" w:eastAsia="zh-CN"/>
        </w:rPr>
      </w:pPr>
    </w:p>
    <w:p>
      <w:pPr>
        <w:numPr>
          <w:ilvl w:val="0"/>
          <w:numId w:val="0"/>
        </w:numPr>
        <w:spacing w:line="360" w:lineRule="auto"/>
        <w:rPr>
          <w:rFonts w:hint="eastAsia" w:ascii="黑体" w:hAnsi="黑体" w:eastAsia="黑体" w:cs="宋体"/>
          <w:b/>
          <w:bCs/>
          <w:lang w:eastAsia="zh-CN"/>
        </w:rPr>
      </w:pPr>
      <w:r>
        <w:rPr>
          <w:rFonts w:hint="eastAsia" w:ascii="黑体" w:hAnsi="黑体" w:eastAsia="黑体" w:cs="宋体"/>
          <w:b/>
          <w:bCs/>
          <w:lang w:eastAsia="zh-CN"/>
        </w:rPr>
        <w:t>三、特别声明</w:t>
      </w:r>
    </w:p>
    <w:p>
      <w:pPr>
        <w:numPr>
          <w:ilvl w:val="0"/>
          <w:numId w:val="0"/>
        </w:numPr>
        <w:spacing w:line="360" w:lineRule="auto"/>
        <w:ind w:firstLine="482" w:firstLineChars="200"/>
        <w:rPr>
          <w:rFonts w:hint="default" w:ascii="黑体" w:hAnsi="黑体" w:eastAsia="黑体" w:cs="宋体"/>
          <w:lang w:val="en-US" w:eastAsia="zh-CN"/>
        </w:rPr>
      </w:pPr>
      <w:r>
        <w:rPr>
          <w:rFonts w:hint="default" w:ascii="黑体" w:hAnsi="黑体" w:eastAsia="黑体" w:cs="宋体"/>
          <w:b/>
          <w:bCs/>
          <w:color w:val="auto"/>
          <w:lang w:val="en-US" w:eastAsia="zh-CN"/>
        </w:rPr>
        <w:t>产品专享服务</w:t>
      </w:r>
      <w:r>
        <w:rPr>
          <w:rFonts w:hint="eastAsia" w:ascii="黑体" w:hAnsi="黑体" w:eastAsia="黑体" w:cs="宋体"/>
          <w:b/>
          <w:bCs/>
          <w:color w:val="auto"/>
          <w:lang w:val="en-US" w:eastAsia="zh-CN"/>
        </w:rPr>
        <w:t>是为特定险种的被保险人提供的增值服务，</w:t>
      </w:r>
      <w:r>
        <w:rPr>
          <w:rFonts w:hint="default" w:ascii="黑体" w:hAnsi="黑体" w:eastAsia="黑体" w:cs="宋体"/>
          <w:b/>
          <w:bCs/>
          <w:color w:val="auto"/>
          <w:lang w:val="en-US" w:eastAsia="zh-CN"/>
        </w:rPr>
        <w:t>我</w:t>
      </w:r>
      <w:r>
        <w:rPr>
          <w:rFonts w:hint="eastAsia" w:ascii="黑体" w:hAnsi="黑体" w:eastAsia="黑体" w:cs="宋体"/>
          <w:b/>
          <w:bCs/>
          <w:color w:val="auto"/>
          <w:lang w:val="en-US" w:eastAsia="zh-CN"/>
        </w:rPr>
        <w:t>公司</w:t>
      </w:r>
      <w:r>
        <w:rPr>
          <w:rFonts w:hint="default" w:ascii="黑体" w:hAnsi="黑体" w:eastAsia="黑体" w:cs="宋体"/>
          <w:b/>
          <w:bCs/>
          <w:color w:val="auto"/>
          <w:lang w:val="en-US" w:eastAsia="zh-CN"/>
        </w:rPr>
        <w:t>有权</w:t>
      </w:r>
      <w:r>
        <w:rPr>
          <w:rFonts w:hint="eastAsia" w:ascii="黑体" w:hAnsi="黑体" w:eastAsia="黑体" w:cs="宋体"/>
          <w:b/>
          <w:bCs/>
          <w:color w:val="auto"/>
          <w:lang w:val="en-US" w:eastAsia="zh-CN"/>
        </w:rPr>
        <w:t>对该服务的标准、内容等进行调整，最新服务相关信息将在官方平台中进行公示，我公司</w:t>
      </w:r>
      <w:r>
        <w:rPr>
          <w:rFonts w:hint="default" w:ascii="黑体" w:hAnsi="黑体" w:eastAsia="黑体" w:cs="宋体"/>
          <w:b/>
          <w:bCs/>
          <w:color w:val="auto"/>
          <w:lang w:val="en-US" w:eastAsia="zh-CN"/>
        </w:rPr>
        <w:t>保留最终解释权。</w:t>
      </w:r>
    </w:p>
    <w:p>
      <w:pPr>
        <w:numPr>
          <w:ilvl w:val="0"/>
          <w:numId w:val="0"/>
        </w:numPr>
        <w:spacing w:line="360" w:lineRule="auto"/>
        <w:rPr>
          <w:rFonts w:hint="default" w:ascii="黑体" w:hAnsi="黑体" w:eastAsia="黑体" w:cs="宋体"/>
          <w:lang w:val="en-US" w:eastAsia="zh-CN"/>
        </w:rPr>
      </w:pPr>
    </w:p>
    <w:p>
      <w:pPr>
        <w:numPr>
          <w:ilvl w:val="0"/>
          <w:numId w:val="0"/>
        </w:numPr>
        <w:spacing w:line="360" w:lineRule="auto"/>
        <w:rPr>
          <w:rFonts w:hint="default" w:ascii="黑体" w:hAnsi="黑体" w:eastAsia="黑体" w:cs="宋体"/>
          <w:lang w:val="en-US" w:eastAsia="zh-CN"/>
        </w:rPr>
      </w:pPr>
    </w:p>
    <w:p>
      <w:pPr>
        <w:numPr>
          <w:ilvl w:val="0"/>
          <w:numId w:val="0"/>
        </w:numPr>
        <w:spacing w:line="360" w:lineRule="auto"/>
        <w:rPr>
          <w:rFonts w:hint="default" w:ascii="黑体" w:hAnsi="黑体" w:eastAsia="黑体" w:cs="宋体"/>
          <w:lang w:val="en-US" w:eastAsia="zh-CN"/>
        </w:rPr>
      </w:pPr>
    </w:p>
    <w:p>
      <w:pPr>
        <w:numPr>
          <w:ilvl w:val="0"/>
          <w:numId w:val="0"/>
        </w:numPr>
        <w:spacing w:line="360" w:lineRule="auto"/>
        <w:rPr>
          <w:rFonts w:hint="default" w:ascii="黑体" w:hAnsi="黑体" w:eastAsia="黑体" w:cs="宋体"/>
          <w:lang w:val="en-US" w:eastAsia="zh-CN"/>
        </w:rPr>
      </w:pPr>
    </w:p>
    <w:p>
      <w:pPr>
        <w:numPr>
          <w:ilvl w:val="0"/>
          <w:numId w:val="0"/>
        </w:numPr>
        <w:spacing w:line="360" w:lineRule="auto"/>
        <w:rPr>
          <w:rFonts w:hint="default" w:ascii="黑体" w:hAnsi="黑体" w:eastAsia="黑体" w:cs="宋体"/>
          <w:lang w:val="en-US" w:eastAsia="zh-CN"/>
        </w:rPr>
      </w:pPr>
    </w:p>
    <w:p>
      <w:pPr>
        <w:numPr>
          <w:ilvl w:val="0"/>
          <w:numId w:val="0"/>
        </w:numPr>
        <w:spacing w:line="360" w:lineRule="auto"/>
        <w:rPr>
          <w:rFonts w:hint="default" w:ascii="黑体" w:hAnsi="黑体" w:eastAsia="黑体" w:cs="宋体"/>
          <w:lang w:val="en-US" w:eastAsia="zh-CN"/>
        </w:rPr>
      </w:pPr>
    </w:p>
    <w:p>
      <w:pPr>
        <w:rPr>
          <w:rFonts w:hint="default" w:ascii="黑体" w:hAnsi="黑体" w:eastAsia="黑体" w:cs="宋体"/>
          <w:lang w:val="en-US" w:eastAsia="zh-CN"/>
        </w:rPr>
      </w:pPr>
      <w:r>
        <w:rPr>
          <w:rFonts w:hint="default" w:ascii="黑体" w:hAnsi="黑体" w:eastAsia="黑体" w:cs="宋体"/>
          <w:lang w:val="en-US" w:eastAsia="zh-CN"/>
        </w:rPr>
        <w:br w:type="page"/>
      </w:r>
    </w:p>
    <w:p>
      <w:pPr>
        <w:spacing w:line="360" w:lineRule="auto"/>
        <w:rPr>
          <w:rFonts w:hint="eastAsia" w:ascii="黑体" w:hAnsi="黑体" w:eastAsia="黑体"/>
          <w:b/>
          <w:kern w:val="0"/>
          <w:sz w:val="32"/>
          <w:szCs w:val="28"/>
          <w:lang w:val="en-US" w:eastAsia="zh-CN"/>
        </w:rPr>
      </w:pPr>
      <w:r>
        <w:rPr>
          <w:rFonts w:hint="eastAsia" w:ascii="黑体" w:hAnsi="黑体" w:eastAsia="黑体"/>
          <w:b/>
          <w:kern w:val="0"/>
          <w:sz w:val="32"/>
          <w:szCs w:val="28"/>
          <w:lang w:val="en-US" w:eastAsia="zh-CN"/>
        </w:rPr>
        <w:t>附件1：重疾绿通服务服务内容释义</w:t>
      </w:r>
    </w:p>
    <w:tbl>
      <w:tblPr>
        <w:tblStyle w:val="88"/>
        <w:tblW w:w="806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09"/>
        <w:gridCol w:w="930"/>
        <w:gridCol w:w="5618"/>
        <w:gridCol w:w="9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0" w:hRule="atLeast"/>
          <w:tblCellSpacing w:w="0" w:type="dxa"/>
        </w:trPr>
        <w:tc>
          <w:tcPr>
            <w:tcW w:w="609" w:type="dxa"/>
            <w:tcBorders>
              <w:top w:val="single" w:color="A6A6A6" w:sz="6" w:space="0"/>
              <w:left w:val="single" w:color="A6A6A6" w:sz="6" w:space="0"/>
              <w:bottom w:val="single" w:color="A6A6A6" w:sz="6" w:space="0"/>
              <w:right w:val="single" w:color="A6A6A6" w:sz="6" w:space="0"/>
            </w:tcBorders>
            <w:shd w:val="clear" w:color="auto" w:fill="00923F"/>
            <w:tcMar>
              <w:left w:w="108" w:type="dxa"/>
              <w:right w:w="108" w:type="dxa"/>
            </w:tcMar>
            <w:vAlign w:val="center"/>
          </w:tcPr>
          <w:p>
            <w:pPr>
              <w:pStyle w:val="81"/>
              <w:keepNext w:val="0"/>
              <w:keepLines w:val="0"/>
              <w:widowControl/>
              <w:suppressLineNumbers w:val="0"/>
              <w:jc w:val="center"/>
            </w:pPr>
            <w:r>
              <w:rPr>
                <w:rFonts w:ascii="微软雅黑" w:hAnsi="微软雅黑" w:eastAsia="微软雅黑" w:cs="微软雅黑"/>
                <w:b/>
                <w:bCs/>
                <w:color w:val="FFFFFF"/>
                <w:sz w:val="16"/>
                <w:szCs w:val="16"/>
              </w:rPr>
              <w:t>序号</w:t>
            </w:r>
          </w:p>
        </w:tc>
        <w:tc>
          <w:tcPr>
            <w:tcW w:w="930" w:type="dxa"/>
            <w:tcBorders>
              <w:top w:val="single" w:color="A6A6A6" w:sz="6" w:space="0"/>
              <w:left w:val="single" w:color="A6A6A6" w:sz="6" w:space="0"/>
              <w:bottom w:val="single" w:color="A6A6A6" w:sz="6" w:space="0"/>
              <w:right w:val="single" w:color="A6A6A6" w:sz="6" w:space="0"/>
            </w:tcBorders>
            <w:shd w:val="clear" w:color="auto" w:fill="00923F"/>
            <w:tcMar>
              <w:left w:w="108" w:type="dxa"/>
              <w:right w:w="108" w:type="dxa"/>
            </w:tcMar>
            <w:vAlign w:val="center"/>
          </w:tcPr>
          <w:p>
            <w:pPr>
              <w:pStyle w:val="81"/>
              <w:keepNext w:val="0"/>
              <w:keepLines w:val="0"/>
              <w:widowControl/>
              <w:suppressLineNumbers w:val="0"/>
              <w:jc w:val="center"/>
            </w:pPr>
            <w:r>
              <w:rPr>
                <w:rFonts w:hint="eastAsia" w:ascii="微软雅黑" w:hAnsi="微软雅黑" w:eastAsia="微软雅黑" w:cs="微软雅黑"/>
                <w:b/>
                <w:bCs/>
                <w:color w:val="FFFFFF"/>
                <w:sz w:val="16"/>
                <w:szCs w:val="16"/>
              </w:rPr>
              <w:t>服务项目</w:t>
            </w:r>
          </w:p>
        </w:tc>
        <w:tc>
          <w:tcPr>
            <w:tcW w:w="5618" w:type="dxa"/>
            <w:tcBorders>
              <w:top w:val="single" w:color="A6A6A6" w:sz="6" w:space="0"/>
              <w:left w:val="single" w:color="A6A6A6" w:sz="6" w:space="0"/>
              <w:bottom w:val="single" w:color="A6A6A6" w:sz="6" w:space="0"/>
              <w:right w:val="single" w:color="A6A6A6" w:sz="6" w:space="0"/>
            </w:tcBorders>
            <w:shd w:val="clear" w:color="auto" w:fill="00923F"/>
            <w:tcMar>
              <w:left w:w="108" w:type="dxa"/>
              <w:right w:w="108" w:type="dxa"/>
            </w:tcMar>
            <w:vAlign w:val="center"/>
          </w:tcPr>
          <w:p>
            <w:pPr>
              <w:pStyle w:val="81"/>
              <w:keepNext w:val="0"/>
              <w:keepLines w:val="0"/>
              <w:widowControl/>
              <w:suppressLineNumbers w:val="0"/>
              <w:jc w:val="center"/>
            </w:pPr>
            <w:r>
              <w:rPr>
                <w:rFonts w:hint="eastAsia" w:ascii="微软雅黑" w:hAnsi="微软雅黑" w:eastAsia="微软雅黑" w:cs="微软雅黑"/>
                <w:b/>
                <w:bCs/>
                <w:color w:val="FFFFFF"/>
                <w:sz w:val="16"/>
                <w:szCs w:val="16"/>
              </w:rPr>
              <w:t>服务释义</w:t>
            </w:r>
          </w:p>
        </w:tc>
        <w:tc>
          <w:tcPr>
            <w:tcW w:w="903" w:type="dxa"/>
            <w:tcBorders>
              <w:top w:val="single" w:color="A6A6A6" w:sz="6" w:space="0"/>
              <w:left w:val="single" w:color="A6A6A6" w:sz="6" w:space="0"/>
              <w:bottom w:val="single" w:color="A6A6A6" w:sz="6" w:space="0"/>
              <w:right w:val="single" w:color="A6A6A6" w:sz="6" w:space="0"/>
            </w:tcBorders>
            <w:shd w:val="clear" w:color="auto" w:fill="00923F"/>
            <w:tcMar>
              <w:left w:w="108" w:type="dxa"/>
              <w:right w:w="108" w:type="dxa"/>
            </w:tcMar>
            <w:vAlign w:val="center"/>
          </w:tcPr>
          <w:p>
            <w:pPr>
              <w:pStyle w:val="81"/>
              <w:keepNext w:val="0"/>
              <w:keepLines w:val="0"/>
              <w:widowControl/>
              <w:suppressLineNumbers w:val="0"/>
              <w:jc w:val="center"/>
            </w:pPr>
            <w:r>
              <w:rPr>
                <w:rFonts w:hint="eastAsia" w:ascii="微软雅黑" w:hAnsi="微软雅黑" w:eastAsia="微软雅黑" w:cs="微软雅黑"/>
                <w:b/>
                <w:bCs/>
                <w:color w:val="FFFFFF"/>
                <w:sz w:val="16"/>
                <w:szCs w:val="16"/>
              </w:rPr>
              <w:t>服务次数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blCellSpacing w:w="0" w:type="dxa"/>
        </w:trPr>
        <w:tc>
          <w:tcPr>
            <w:tcW w:w="609"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1</w:t>
            </w:r>
          </w:p>
        </w:tc>
        <w:tc>
          <w:tcPr>
            <w:tcW w:w="930"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视频医生</w:t>
            </w:r>
          </w:p>
        </w:tc>
        <w:tc>
          <w:tcPr>
            <w:tcW w:w="5618"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7*24小时全科医生通过视频方式解决客户各类诊疗、用药、康复等方面问题，客户可以通过上传、提供各类图文资料的方式进行咨询。经医生判断需要用药的，由医生开具处方，客户完成线上药品购买，将药品快递至客户指定地点，方便快捷。</w:t>
            </w:r>
          </w:p>
        </w:tc>
        <w:tc>
          <w:tcPr>
            <w:tcW w:w="903"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不限次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blCellSpacing w:w="0" w:type="dxa"/>
        </w:trPr>
        <w:tc>
          <w:tcPr>
            <w:tcW w:w="609"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2</w:t>
            </w:r>
          </w:p>
        </w:tc>
        <w:tc>
          <w:tcPr>
            <w:tcW w:w="930"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体检预约</w:t>
            </w:r>
          </w:p>
        </w:tc>
        <w:tc>
          <w:tcPr>
            <w:tcW w:w="5618"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协助客户选择最合适的体检机构和套餐，获得最优价格并协助客户预约。在客户体检完成后，如客户对体检报告有疑问时，协助进行解答，并对体检报告中的异常指标给出后续进一步诊疗的建议。</w:t>
            </w:r>
          </w:p>
          <w:p>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color w:val="auto"/>
              </w:rPr>
            </w:pPr>
            <w:r>
              <w:rPr>
                <w:rFonts w:hint="eastAsia" w:ascii="微软雅黑" w:hAnsi="微软雅黑" w:eastAsia="微软雅黑" w:cs="微软雅黑"/>
                <w:color w:val="auto"/>
                <w:sz w:val="16"/>
                <w:szCs w:val="16"/>
              </w:rPr>
              <w:t>客户提出体检服务申请的一个工作日内完成体检安排。</w:t>
            </w:r>
          </w:p>
        </w:tc>
        <w:tc>
          <w:tcPr>
            <w:tcW w:w="903"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不限次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95" w:hRule="atLeast"/>
          <w:tblCellSpacing w:w="0" w:type="dxa"/>
        </w:trPr>
        <w:tc>
          <w:tcPr>
            <w:tcW w:w="609"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3</w:t>
            </w:r>
          </w:p>
        </w:tc>
        <w:tc>
          <w:tcPr>
            <w:tcW w:w="930"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专家门诊预约</w:t>
            </w:r>
          </w:p>
        </w:tc>
        <w:tc>
          <w:tcPr>
            <w:tcW w:w="5618"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客户罹患重疾后，根据客户目前的病情及就诊意向，为其安排最合适的医生，使客户能尽快完成门诊就诊。</w:t>
            </w:r>
          </w:p>
          <w:p>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微软雅黑" w:hAnsi="微软雅黑" w:eastAsia="微软雅黑" w:cs="微软雅黑"/>
                <w:color w:val="auto"/>
                <w:sz w:val="16"/>
                <w:szCs w:val="16"/>
                <w:lang w:eastAsia="zh-CN"/>
              </w:rPr>
            </w:pPr>
            <w:r>
              <w:rPr>
                <w:rFonts w:hint="eastAsia" w:ascii="微软雅黑" w:hAnsi="微软雅黑" w:eastAsia="微软雅黑" w:cs="微软雅黑"/>
                <w:color w:val="auto"/>
                <w:sz w:val="16"/>
                <w:szCs w:val="16"/>
              </w:rPr>
              <w:t>不指定医院不指定专家，3个工作日完成预约</w:t>
            </w:r>
            <w:r>
              <w:rPr>
                <w:rFonts w:hint="eastAsia" w:ascii="微软雅黑" w:hAnsi="微软雅黑" w:eastAsia="微软雅黑" w:cs="微软雅黑"/>
                <w:color w:val="auto"/>
                <w:sz w:val="16"/>
                <w:szCs w:val="16"/>
                <w:lang w:eastAsia="zh-CN"/>
              </w:rPr>
              <w:t>。</w:t>
            </w:r>
          </w:p>
          <w:p>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微软雅黑" w:hAnsi="微软雅黑" w:eastAsia="微软雅黑" w:cs="微软雅黑"/>
                <w:color w:val="auto"/>
                <w:sz w:val="16"/>
                <w:szCs w:val="16"/>
                <w:lang w:eastAsia="zh-CN"/>
              </w:rPr>
            </w:pPr>
            <w:r>
              <w:rPr>
                <w:rFonts w:hint="eastAsia" w:ascii="微软雅黑" w:hAnsi="微软雅黑" w:eastAsia="微软雅黑" w:cs="微软雅黑"/>
                <w:color w:val="auto"/>
                <w:sz w:val="16"/>
                <w:szCs w:val="16"/>
              </w:rPr>
              <w:t>指定医院不指定专家，3个工作日完成预约</w:t>
            </w:r>
            <w:r>
              <w:rPr>
                <w:rFonts w:hint="eastAsia" w:ascii="微软雅黑" w:hAnsi="微软雅黑" w:eastAsia="微软雅黑" w:cs="微软雅黑"/>
                <w:color w:val="auto"/>
                <w:sz w:val="16"/>
                <w:szCs w:val="16"/>
                <w:lang w:eastAsia="zh-CN"/>
              </w:rPr>
              <w:t>。</w:t>
            </w:r>
          </w:p>
          <w:p>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eastAsia="微软雅黑"/>
                <w:color w:val="auto"/>
                <w:lang w:eastAsia="zh-CN"/>
              </w:rPr>
            </w:pPr>
            <w:r>
              <w:rPr>
                <w:rFonts w:hint="eastAsia" w:ascii="微软雅黑" w:hAnsi="微软雅黑" w:eastAsia="微软雅黑" w:cs="微软雅黑"/>
                <w:color w:val="auto"/>
                <w:sz w:val="16"/>
                <w:szCs w:val="16"/>
              </w:rPr>
              <w:t>指定医院指定专家，需根据该医生的实际出诊情况确定</w:t>
            </w:r>
            <w:r>
              <w:rPr>
                <w:rFonts w:hint="eastAsia" w:ascii="微软雅黑" w:hAnsi="微软雅黑" w:eastAsia="微软雅黑" w:cs="微软雅黑"/>
                <w:color w:val="auto"/>
                <w:sz w:val="16"/>
                <w:szCs w:val="16"/>
                <w:lang w:eastAsia="zh-CN"/>
              </w:rPr>
              <w:t>。</w:t>
            </w:r>
          </w:p>
        </w:tc>
        <w:tc>
          <w:tcPr>
            <w:tcW w:w="903"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1次/年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blCellSpacing w:w="0" w:type="dxa"/>
        </w:trPr>
        <w:tc>
          <w:tcPr>
            <w:tcW w:w="609"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4</w:t>
            </w:r>
          </w:p>
        </w:tc>
        <w:tc>
          <w:tcPr>
            <w:tcW w:w="930"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就医陪诊</w:t>
            </w:r>
          </w:p>
        </w:tc>
        <w:tc>
          <w:tcPr>
            <w:tcW w:w="5618"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客户在门诊就诊过程中，由专职护士人员进行陪同，指引客户就诊流程，帮助客户进行排队、缴款、取药等，协助客户顺利完成就诊。</w:t>
            </w:r>
          </w:p>
          <w:p>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color w:val="auto"/>
              </w:rPr>
            </w:pPr>
            <w:r>
              <w:rPr>
                <w:rFonts w:hint="eastAsia" w:ascii="微软雅黑" w:hAnsi="微软雅黑" w:eastAsia="微软雅黑" w:cs="微软雅黑"/>
                <w:color w:val="auto"/>
                <w:sz w:val="16"/>
                <w:szCs w:val="16"/>
              </w:rPr>
              <w:t>需提前三个工作日提出就医陪诊申请，提出申请后的一个工作日内完成陪诊安排。</w:t>
            </w:r>
          </w:p>
        </w:tc>
        <w:tc>
          <w:tcPr>
            <w:tcW w:w="903"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1次/年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blCellSpacing w:w="0" w:type="dxa"/>
        </w:trPr>
        <w:tc>
          <w:tcPr>
            <w:tcW w:w="609"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5</w:t>
            </w:r>
          </w:p>
        </w:tc>
        <w:tc>
          <w:tcPr>
            <w:tcW w:w="930"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快速住院</w:t>
            </w:r>
          </w:p>
        </w:tc>
        <w:tc>
          <w:tcPr>
            <w:tcW w:w="5618"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客户罹患重疾并已获得入院通知单，安排客户在开具入院单的专家床位入住，使客户能尽快获得住院治疗。</w:t>
            </w:r>
          </w:p>
          <w:p>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color w:val="auto"/>
              </w:rPr>
            </w:pPr>
            <w:r>
              <w:rPr>
                <w:rFonts w:hint="eastAsia" w:ascii="微软雅黑" w:hAnsi="微软雅黑" w:eastAsia="微软雅黑" w:cs="微软雅黑"/>
                <w:color w:val="auto"/>
                <w:sz w:val="16"/>
                <w:szCs w:val="16"/>
              </w:rPr>
              <w:t>客户提供入院通知单后的十个工作日内完成入院手续办理。</w:t>
            </w:r>
          </w:p>
        </w:tc>
        <w:tc>
          <w:tcPr>
            <w:tcW w:w="903"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1次/年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blCellSpacing w:w="0" w:type="dxa"/>
        </w:trPr>
        <w:tc>
          <w:tcPr>
            <w:tcW w:w="609"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6</w:t>
            </w:r>
          </w:p>
        </w:tc>
        <w:tc>
          <w:tcPr>
            <w:tcW w:w="930"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手术协调</w:t>
            </w:r>
          </w:p>
        </w:tc>
        <w:tc>
          <w:tcPr>
            <w:tcW w:w="5618"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客户罹患重疾后如需手术治疗的，协调客户入住三甲医院床位，并安排合适专家为其进行手术。</w:t>
            </w:r>
          </w:p>
          <w:p>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不指定专家手术，在客户办理入院后的三个工作日内完成手术专家安排。</w:t>
            </w:r>
          </w:p>
          <w:p>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eastAsia="微软雅黑"/>
                <w:color w:val="auto"/>
                <w:lang w:eastAsia="zh-CN"/>
              </w:rPr>
            </w:pPr>
            <w:r>
              <w:rPr>
                <w:rFonts w:hint="eastAsia" w:ascii="微软雅黑" w:hAnsi="微软雅黑" w:eastAsia="微软雅黑" w:cs="微软雅黑"/>
                <w:color w:val="auto"/>
                <w:sz w:val="16"/>
                <w:szCs w:val="16"/>
              </w:rPr>
              <w:t>指定专家手术的，首次门诊及入院日期，需视指定专家的具体出诊情况确定</w:t>
            </w:r>
            <w:r>
              <w:rPr>
                <w:rFonts w:hint="eastAsia" w:ascii="微软雅黑" w:hAnsi="微软雅黑" w:eastAsia="微软雅黑" w:cs="微软雅黑"/>
                <w:color w:val="auto"/>
                <w:sz w:val="16"/>
                <w:szCs w:val="16"/>
                <w:lang w:eastAsia="zh-CN"/>
              </w:rPr>
              <w:t>。</w:t>
            </w:r>
          </w:p>
        </w:tc>
        <w:tc>
          <w:tcPr>
            <w:tcW w:w="903"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1次/年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blCellSpacing w:w="0" w:type="dxa"/>
        </w:trPr>
        <w:tc>
          <w:tcPr>
            <w:tcW w:w="609"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7</w:t>
            </w:r>
          </w:p>
        </w:tc>
        <w:tc>
          <w:tcPr>
            <w:tcW w:w="930"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国内转诊</w:t>
            </w:r>
          </w:p>
        </w:tc>
        <w:tc>
          <w:tcPr>
            <w:tcW w:w="5618"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客户罹患重疾住院后，如希望转至其他更好医疗水平医院治疗，协助客户安排相关医院专家的门诊首诊。如专家经诊疗后同意收治入院并开具入院单的，协助客户办理原入住医院的转院手续。</w:t>
            </w:r>
          </w:p>
          <w:p>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不指定专家：确定转院专家后，五个工作日内完成首诊安排。</w:t>
            </w:r>
          </w:p>
          <w:p>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color w:val="auto"/>
              </w:rPr>
            </w:pPr>
            <w:r>
              <w:rPr>
                <w:rFonts w:hint="eastAsia" w:ascii="微软雅黑" w:hAnsi="微软雅黑" w:eastAsia="微软雅黑" w:cs="微软雅黑"/>
                <w:color w:val="auto"/>
                <w:sz w:val="16"/>
                <w:szCs w:val="16"/>
              </w:rPr>
              <w:t>指定专家：需要根据指定专家的实际出诊计划安排。</w:t>
            </w:r>
          </w:p>
        </w:tc>
        <w:tc>
          <w:tcPr>
            <w:tcW w:w="903"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1次/年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blCellSpacing w:w="0" w:type="dxa"/>
        </w:trPr>
        <w:tc>
          <w:tcPr>
            <w:tcW w:w="609"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8</w:t>
            </w:r>
          </w:p>
        </w:tc>
        <w:tc>
          <w:tcPr>
            <w:tcW w:w="930"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国内二次诊疗</w:t>
            </w:r>
          </w:p>
        </w:tc>
        <w:tc>
          <w:tcPr>
            <w:tcW w:w="5618"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客户罹患重疾并获得诊断（获得治疗方案），如对原诊断、治疗方案有疑义时，通过咨询国内专家，提供独立、客观的书面第二诊断意见，协助客户更全面的了解自身病情，选择更合适的治疗方案与手段。</w:t>
            </w:r>
          </w:p>
          <w:p>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color w:val="auto"/>
              </w:rPr>
            </w:pPr>
            <w:r>
              <w:rPr>
                <w:rFonts w:hint="eastAsia" w:ascii="微软雅黑" w:hAnsi="微软雅黑" w:eastAsia="微软雅黑" w:cs="微软雅黑"/>
                <w:color w:val="auto"/>
                <w:sz w:val="16"/>
                <w:szCs w:val="16"/>
              </w:rPr>
              <w:t>在收到客户病历资料后，三个工作日内提供二诊报告。</w:t>
            </w:r>
          </w:p>
        </w:tc>
        <w:tc>
          <w:tcPr>
            <w:tcW w:w="903"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1次/年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blCellSpacing w:w="0" w:type="dxa"/>
        </w:trPr>
        <w:tc>
          <w:tcPr>
            <w:tcW w:w="609"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9</w:t>
            </w:r>
          </w:p>
        </w:tc>
        <w:tc>
          <w:tcPr>
            <w:tcW w:w="930"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国际转诊</w:t>
            </w:r>
          </w:p>
        </w:tc>
        <w:tc>
          <w:tcPr>
            <w:tcW w:w="5618"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客户罹患重疾并经诊疗后，如希望至美国进行进一步诊疗，协助进行美国当地医生的就诊预约安排，包括就医签证、交通食宿预定安排、专车接送、生活翻译协助、病例整理翻译、诊疗方案、检测报告翻译解读等，帮助客户顺利完成美国的就医首诊。</w:t>
            </w:r>
          </w:p>
          <w:p>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color w:val="auto"/>
              </w:rPr>
            </w:pPr>
            <w:r>
              <w:rPr>
                <w:rFonts w:hint="eastAsia" w:ascii="微软雅黑" w:hAnsi="微软雅黑" w:eastAsia="微软雅黑" w:cs="微软雅黑"/>
                <w:color w:val="auto"/>
                <w:sz w:val="16"/>
                <w:szCs w:val="16"/>
              </w:rPr>
              <w:t>在收到客户病历资料后，在十个工作日内确定国际转诊专家。</w:t>
            </w:r>
          </w:p>
        </w:tc>
        <w:tc>
          <w:tcPr>
            <w:tcW w:w="903"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1次/年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blCellSpacing w:w="0" w:type="dxa"/>
        </w:trPr>
        <w:tc>
          <w:tcPr>
            <w:tcW w:w="609"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10</w:t>
            </w:r>
          </w:p>
        </w:tc>
        <w:tc>
          <w:tcPr>
            <w:tcW w:w="930"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国际二次诊疗</w:t>
            </w:r>
          </w:p>
        </w:tc>
        <w:tc>
          <w:tcPr>
            <w:tcW w:w="5618"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客户罹患重疾并获得诊断（获得治疗方案），如对原诊断、治疗方案有疑义时，希望通过国际专家给出独立意见时，协助客户进行安排，提供海外专家独立、客观的书面第二诊断意见，协助客户更全面的了解自身病情，选择更合适的治疗方案与手段。</w:t>
            </w:r>
          </w:p>
          <w:p>
            <w:pPr>
              <w:pStyle w:val="8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color w:val="auto"/>
              </w:rPr>
            </w:pPr>
            <w:r>
              <w:rPr>
                <w:rFonts w:hint="eastAsia" w:ascii="微软雅黑" w:hAnsi="微软雅黑" w:eastAsia="微软雅黑" w:cs="微软雅黑"/>
                <w:color w:val="auto"/>
                <w:sz w:val="16"/>
                <w:szCs w:val="16"/>
              </w:rPr>
              <w:t>在收到客户病历资料后，二周内提供二诊报告</w:t>
            </w:r>
          </w:p>
        </w:tc>
        <w:tc>
          <w:tcPr>
            <w:tcW w:w="903"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1次/年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blCellSpacing w:w="0" w:type="dxa"/>
        </w:trPr>
        <w:tc>
          <w:tcPr>
            <w:tcW w:w="609"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11</w:t>
            </w:r>
          </w:p>
        </w:tc>
        <w:tc>
          <w:tcPr>
            <w:tcW w:w="930"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重疾治疗路费报销</w:t>
            </w:r>
          </w:p>
        </w:tc>
        <w:tc>
          <w:tcPr>
            <w:tcW w:w="5618"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rPr>
                <w:color w:val="auto"/>
              </w:rPr>
            </w:pPr>
            <w:r>
              <w:rPr>
                <w:rFonts w:hint="eastAsia" w:ascii="微软雅黑" w:hAnsi="微软雅黑" w:eastAsia="微软雅黑" w:cs="微软雅黑"/>
                <w:color w:val="auto"/>
                <w:sz w:val="16"/>
                <w:szCs w:val="16"/>
              </w:rPr>
              <w:t>路费报销是指提供绿通服务过程中，为患者本人提供的路费报销，不包含住宿费、自驾车油费、过路费等其他费用路费，报销指的是汽车票、火车票、飞机票、打车票。报销以一次治疗周期为限的路费，省内最高2,000元，省外最高5,000元。治疗结束后10个工作日内提出报销申请。重疾治疗路费的报销款审核完毕后5个工作日内汇至被保险人指定的汇款账户。</w:t>
            </w:r>
          </w:p>
        </w:tc>
        <w:tc>
          <w:tcPr>
            <w:tcW w:w="903"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pPr>
            <w:r>
              <w:rPr>
                <w:rFonts w:hint="eastAsia" w:ascii="微软雅黑" w:hAnsi="微软雅黑" w:eastAsia="微软雅黑" w:cs="微软雅黑"/>
                <w:color w:val="000000"/>
                <w:sz w:val="16"/>
                <w:szCs w:val="16"/>
              </w:rPr>
              <w:t>1次/年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blCellSpacing w:w="0" w:type="dxa"/>
        </w:trPr>
        <w:tc>
          <w:tcPr>
            <w:tcW w:w="609"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rPr>
                <w:rFonts w:hint="default" w:ascii="微软雅黑" w:hAnsi="微软雅黑" w:eastAsia="微软雅黑" w:cs="微软雅黑"/>
                <w:color w:val="000000"/>
                <w:sz w:val="16"/>
                <w:szCs w:val="16"/>
                <w:lang w:val="en-US" w:eastAsia="zh-CN"/>
              </w:rPr>
            </w:pPr>
            <w:r>
              <w:rPr>
                <w:rFonts w:hint="eastAsia" w:ascii="微软雅黑" w:hAnsi="微软雅黑" w:eastAsia="微软雅黑" w:cs="微软雅黑"/>
                <w:color w:val="000000"/>
                <w:sz w:val="16"/>
                <w:szCs w:val="16"/>
                <w:lang w:val="en-US" w:eastAsia="zh-CN"/>
              </w:rPr>
              <w:t>12</w:t>
            </w:r>
          </w:p>
        </w:tc>
        <w:tc>
          <w:tcPr>
            <w:tcW w:w="930"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rPr>
                <w:rFonts w:hint="eastAsia" w:ascii="微软雅黑" w:hAnsi="微软雅黑" w:eastAsia="微软雅黑" w:cs="微软雅黑"/>
                <w:color w:val="000000"/>
                <w:sz w:val="16"/>
                <w:szCs w:val="16"/>
                <w:lang w:eastAsia="zh-CN"/>
              </w:rPr>
            </w:pPr>
            <w:r>
              <w:rPr>
                <w:rFonts w:hint="eastAsia" w:ascii="微软雅黑" w:hAnsi="微软雅黑" w:eastAsia="微软雅黑" w:cs="微软雅黑"/>
                <w:color w:val="000000"/>
                <w:sz w:val="16"/>
                <w:szCs w:val="16"/>
                <w:lang w:eastAsia="zh-CN"/>
              </w:rPr>
              <w:t>城际转运</w:t>
            </w:r>
          </w:p>
        </w:tc>
        <w:tc>
          <w:tcPr>
            <w:tcW w:w="5618"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rPr>
                <w:rFonts w:hint="eastAsia" w:ascii="微软雅黑" w:hAnsi="微软雅黑" w:eastAsia="微软雅黑" w:cs="微软雅黑"/>
                <w:color w:val="auto"/>
                <w:sz w:val="16"/>
                <w:szCs w:val="16"/>
              </w:rPr>
            </w:pPr>
            <w:r>
              <w:rPr>
                <w:rFonts w:hint="eastAsia" w:ascii="微软雅黑" w:hAnsi="微软雅黑" w:eastAsia="微软雅黑" w:cs="微软雅黑"/>
                <w:color w:val="auto"/>
                <w:sz w:val="16"/>
                <w:szCs w:val="16"/>
              </w:rPr>
              <w:t>针对客户在服务生效期间因罹患重疾，住院治疗稳定，但是行动不便，并有需要前往其它城市接受治疗时，视具体情况，安排医疗转运客户至目的地。</w:t>
            </w:r>
          </w:p>
        </w:tc>
        <w:tc>
          <w:tcPr>
            <w:tcW w:w="903" w:type="dxa"/>
            <w:tcBorders>
              <w:top w:val="single" w:color="A6A6A6" w:sz="6" w:space="0"/>
              <w:left w:val="single" w:color="A6A6A6" w:sz="6" w:space="0"/>
              <w:bottom w:val="single" w:color="A6A6A6" w:sz="6" w:space="0"/>
              <w:right w:val="single" w:color="A6A6A6" w:sz="6" w:space="0"/>
            </w:tcBorders>
            <w:shd w:val="clear" w:color="auto" w:fill="auto"/>
            <w:tcMar>
              <w:left w:w="108" w:type="dxa"/>
              <w:right w:w="108" w:type="dxa"/>
            </w:tcMar>
            <w:vAlign w:val="center"/>
          </w:tcPr>
          <w:p>
            <w:pPr>
              <w:pStyle w:val="81"/>
              <w:keepNext w:val="0"/>
              <w:keepLines w:val="0"/>
              <w:widowControl/>
              <w:suppressLineNumbers w:val="0"/>
              <w:rPr>
                <w:rFonts w:hint="eastAsia" w:ascii="微软雅黑" w:hAnsi="微软雅黑" w:eastAsia="微软雅黑" w:cs="微软雅黑"/>
                <w:color w:val="000000"/>
                <w:sz w:val="16"/>
                <w:szCs w:val="16"/>
                <w:lang w:val="en-US" w:eastAsia="zh-CN"/>
              </w:rPr>
            </w:pPr>
            <w:r>
              <w:rPr>
                <w:rFonts w:hint="eastAsia" w:ascii="微软雅黑" w:hAnsi="微软雅黑" w:eastAsia="微软雅黑" w:cs="微软雅黑"/>
                <w:color w:val="000000"/>
                <w:sz w:val="16"/>
                <w:szCs w:val="16"/>
                <w:lang w:val="en-US" w:eastAsia="zh-CN"/>
              </w:rPr>
              <w:t>1次/年</w:t>
            </w:r>
          </w:p>
        </w:tc>
      </w:tr>
    </w:tbl>
    <w:p>
      <w:pPr>
        <w:numPr>
          <w:ilvl w:val="0"/>
          <w:numId w:val="0"/>
        </w:numPr>
        <w:spacing w:line="360" w:lineRule="auto"/>
        <w:ind w:leftChars="0"/>
        <w:rPr>
          <w:rFonts w:hint="eastAsia" w:ascii="黑体" w:hAnsi="黑体" w:eastAsia="黑体"/>
          <w:lang w:val="en-US" w:eastAsia="zh-CN"/>
        </w:rPr>
      </w:pPr>
    </w:p>
    <w:p>
      <w:pPr>
        <w:numPr>
          <w:ilvl w:val="0"/>
          <w:numId w:val="0"/>
        </w:numPr>
        <w:spacing w:line="360" w:lineRule="auto"/>
        <w:ind w:leftChars="0"/>
        <w:rPr>
          <w:rFonts w:hint="eastAsia" w:ascii="黑体" w:hAnsi="黑体" w:eastAsia="黑体"/>
          <w:lang w:val="en-US" w:eastAsia="zh-CN"/>
        </w:rPr>
      </w:pPr>
    </w:p>
    <w:p>
      <w:pPr>
        <w:numPr>
          <w:ilvl w:val="0"/>
          <w:numId w:val="0"/>
        </w:numPr>
        <w:spacing w:line="360" w:lineRule="auto"/>
        <w:ind w:leftChars="0"/>
        <w:rPr>
          <w:rFonts w:hint="eastAsia" w:ascii="黑体" w:hAnsi="黑体" w:eastAsia="黑体"/>
          <w:lang w:val="en-US" w:eastAsia="zh-CN"/>
        </w:rPr>
      </w:pPr>
    </w:p>
    <w:p>
      <w:pPr>
        <w:numPr>
          <w:ilvl w:val="0"/>
          <w:numId w:val="0"/>
        </w:numPr>
        <w:spacing w:line="360" w:lineRule="auto"/>
        <w:ind w:leftChars="0"/>
        <w:rPr>
          <w:rFonts w:hint="eastAsia" w:ascii="黑体" w:hAnsi="黑体" w:eastAsia="黑体"/>
          <w:lang w:val="en-US" w:eastAsia="zh-CN"/>
        </w:rPr>
      </w:pPr>
    </w:p>
    <w:p>
      <w:pPr>
        <w:numPr>
          <w:ilvl w:val="0"/>
          <w:numId w:val="0"/>
        </w:numPr>
        <w:spacing w:line="360" w:lineRule="auto"/>
        <w:ind w:leftChars="0"/>
        <w:rPr>
          <w:rFonts w:hint="eastAsia" w:ascii="黑体" w:hAnsi="黑体" w:eastAsia="黑体"/>
          <w:lang w:val="en-US" w:eastAsia="zh-CN"/>
        </w:rPr>
      </w:pPr>
    </w:p>
    <w:p>
      <w:pPr>
        <w:numPr>
          <w:ilvl w:val="0"/>
          <w:numId w:val="0"/>
        </w:numPr>
        <w:spacing w:line="360" w:lineRule="auto"/>
        <w:ind w:leftChars="0"/>
        <w:rPr>
          <w:rFonts w:hint="eastAsia" w:ascii="黑体" w:hAnsi="黑体" w:eastAsia="黑体"/>
          <w:lang w:val="en-US" w:eastAsia="zh-CN"/>
        </w:rPr>
      </w:pPr>
    </w:p>
    <w:p>
      <w:pPr>
        <w:numPr>
          <w:ilvl w:val="0"/>
          <w:numId w:val="0"/>
        </w:numPr>
        <w:spacing w:line="360" w:lineRule="auto"/>
        <w:ind w:leftChars="0"/>
        <w:rPr>
          <w:rFonts w:hint="eastAsia" w:ascii="黑体" w:hAnsi="黑体" w:eastAsia="黑体"/>
          <w:lang w:val="en-US" w:eastAsia="zh-CN"/>
        </w:rPr>
      </w:pPr>
    </w:p>
    <w:p>
      <w:pPr>
        <w:numPr>
          <w:ilvl w:val="0"/>
          <w:numId w:val="0"/>
        </w:numPr>
        <w:spacing w:line="360" w:lineRule="auto"/>
        <w:ind w:leftChars="0"/>
        <w:rPr>
          <w:rFonts w:hint="eastAsia" w:ascii="黑体" w:hAnsi="黑体" w:eastAsia="黑体"/>
          <w:lang w:val="en-US" w:eastAsia="zh-CN"/>
        </w:rPr>
      </w:pPr>
    </w:p>
    <w:p>
      <w:pPr>
        <w:numPr>
          <w:ilvl w:val="0"/>
          <w:numId w:val="0"/>
        </w:numPr>
        <w:spacing w:line="360" w:lineRule="auto"/>
        <w:ind w:leftChars="0"/>
        <w:rPr>
          <w:rFonts w:hint="eastAsia" w:ascii="黑体" w:hAnsi="黑体" w:eastAsia="黑体"/>
          <w:lang w:val="en-US" w:eastAsia="zh-CN"/>
        </w:rPr>
      </w:pPr>
    </w:p>
    <w:p>
      <w:pPr>
        <w:numPr>
          <w:ilvl w:val="0"/>
          <w:numId w:val="0"/>
        </w:numPr>
        <w:spacing w:line="360" w:lineRule="auto"/>
        <w:ind w:leftChars="0"/>
        <w:rPr>
          <w:rFonts w:hint="eastAsia" w:ascii="黑体" w:hAnsi="黑体" w:eastAsia="黑体"/>
          <w:lang w:val="en-US" w:eastAsia="zh-CN"/>
        </w:rPr>
      </w:pPr>
    </w:p>
    <w:p>
      <w:pPr>
        <w:numPr>
          <w:ilvl w:val="0"/>
          <w:numId w:val="0"/>
        </w:numPr>
        <w:spacing w:line="360" w:lineRule="auto"/>
        <w:ind w:leftChars="0"/>
        <w:rPr>
          <w:rFonts w:hint="eastAsia" w:ascii="黑体" w:hAnsi="黑体" w:eastAsia="黑体"/>
          <w:lang w:val="en-US" w:eastAsia="zh-CN"/>
        </w:rPr>
      </w:pPr>
    </w:p>
    <w:p>
      <w:pPr>
        <w:rPr>
          <w:rFonts w:hint="eastAsia" w:ascii="黑体" w:hAnsi="黑体" w:eastAsia="黑体"/>
          <w:lang w:val="en-US" w:eastAsia="zh-CN"/>
        </w:rPr>
      </w:pPr>
      <w:r>
        <w:rPr>
          <w:rFonts w:hint="eastAsia" w:ascii="黑体" w:hAnsi="黑体" w:eastAsia="黑体"/>
          <w:lang w:val="en-US" w:eastAsia="zh-CN"/>
        </w:rPr>
        <w:br w:type="page"/>
      </w:r>
    </w:p>
    <w:p>
      <w:pPr>
        <w:spacing w:line="360" w:lineRule="auto"/>
        <w:rPr>
          <w:rFonts w:hint="eastAsia" w:ascii="黑体" w:hAnsi="黑体" w:eastAsia="黑体"/>
          <w:b/>
          <w:kern w:val="0"/>
          <w:sz w:val="32"/>
          <w:szCs w:val="28"/>
          <w:lang w:eastAsia="zh-CN"/>
        </w:rPr>
      </w:pPr>
      <w:r>
        <w:rPr>
          <w:rFonts w:hint="eastAsia" w:ascii="黑体" w:hAnsi="黑体" w:eastAsia="黑体"/>
          <w:b/>
          <w:kern w:val="0"/>
          <w:sz w:val="32"/>
          <w:szCs w:val="28"/>
        </w:rPr>
        <w:t>附件</w:t>
      </w:r>
      <w:r>
        <w:rPr>
          <w:rFonts w:hint="eastAsia" w:ascii="黑体" w:hAnsi="黑体" w:eastAsia="黑体"/>
          <w:b/>
          <w:kern w:val="0"/>
          <w:sz w:val="32"/>
          <w:szCs w:val="28"/>
          <w:lang w:val="en-US" w:eastAsia="zh-CN"/>
        </w:rPr>
        <w:t>2</w:t>
      </w:r>
      <w:r>
        <w:rPr>
          <w:rFonts w:hint="eastAsia" w:ascii="黑体" w:hAnsi="黑体" w:eastAsia="黑体"/>
          <w:b/>
          <w:kern w:val="0"/>
          <w:sz w:val="32"/>
          <w:szCs w:val="28"/>
        </w:rPr>
        <w:t>：重疾绿通服务</w:t>
      </w:r>
      <w:r>
        <w:rPr>
          <w:rFonts w:hint="eastAsia" w:ascii="黑体" w:hAnsi="黑体" w:eastAsia="黑体"/>
          <w:b/>
          <w:kern w:val="0"/>
          <w:sz w:val="32"/>
          <w:szCs w:val="28"/>
          <w:lang w:eastAsia="zh-CN"/>
        </w:rPr>
        <w:t>重疾清单</w:t>
      </w:r>
    </w:p>
    <w:p>
      <w:pPr>
        <w:spacing w:line="340" w:lineRule="exact"/>
        <w:rPr>
          <w:rFonts w:ascii="华文中宋" w:hAnsi="华文中宋" w:eastAsia="华文中宋"/>
          <w:b/>
          <w:sz w:val="24"/>
          <w:szCs w:val="24"/>
        </w:rPr>
      </w:pPr>
      <w:r>
        <w:rPr>
          <w:rFonts w:hint="eastAsia" w:ascii="华文中宋" w:hAnsi="华文中宋" w:eastAsia="华文中宋"/>
          <w:b/>
          <w:sz w:val="24"/>
          <w:szCs w:val="24"/>
        </w:rPr>
        <w:t>一、重大疾病</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7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 恶性肿瘤— 重度</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指恶性细胞不受控制的进行性增长和扩散，浸润和破坏周围正常组织，可以经血管、淋巴管和体腔扩散转移到身体其他部位，病灶经</w:t>
            </w:r>
            <w:r>
              <w:rPr>
                <w:rFonts w:hint="eastAsia" w:ascii="黑体" w:hAnsi="黑体" w:eastAsia="黑体" w:cs="黑体"/>
                <w:b/>
                <w:sz w:val="22"/>
                <w:szCs w:val="22"/>
              </w:rPr>
              <w:t>组织病理学检查</w:t>
            </w:r>
            <w:r>
              <w:rPr>
                <w:rFonts w:hint="eastAsia" w:ascii="黑体" w:hAnsi="黑体" w:eastAsia="黑体" w:cs="黑体"/>
                <w:sz w:val="22"/>
                <w:szCs w:val="22"/>
              </w:rPr>
              <w:t xml:space="preserve">（涵盖骨髓病理学检查）结果明确诊断，临床诊断属于世界卫生组织（WHO，World Health Organization）《疾病和有关健康问题的国际统计分类》第十次修订版（ICD-10）的恶性肿瘤类别及《国际疾病分类肿瘤学专辑》第三版（ICD-0-3）的肿瘤形态学编码属于 3、6、9（恶性肿瘤）范畴的疾病。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下列疾病不属于“恶性肿瘤——重度”，不在保障范围内：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ICD-0-3 肿瘤形态学编码属于 0（良性肿瘤）、1（动态未定性肿瘤）、2（原位癌和非侵 袭性癌）范畴的疾病，如：a.原位癌，癌前病变，非浸润性癌，非侵袭性癌，肿瘤细胞未 侵犯基底层，上皮内瘤变，细胞不典型性增生等；b.交界性肿瘤，交界恶性肿瘤，肿瘤低 度恶性潜能，潜在低度恶性肿瘤等； </w:t>
            </w:r>
          </w:p>
          <w:p>
            <w:pPr>
              <w:widowControl/>
              <w:jc w:val="left"/>
              <w:rPr>
                <w:rFonts w:hint="eastAsia" w:ascii="黑体" w:hAnsi="黑体" w:eastAsia="黑体" w:cs="黑体"/>
                <w:sz w:val="22"/>
                <w:szCs w:val="22"/>
              </w:rPr>
            </w:pPr>
            <w:r>
              <w:rPr>
                <w:rFonts w:hint="eastAsia" w:ascii="黑体" w:hAnsi="黑体" w:eastAsia="黑体" w:cs="黑体"/>
                <w:sz w:val="22"/>
                <w:szCs w:val="22"/>
              </w:rPr>
              <w:t>2.TNM 分期为Ⅰ期或更轻分期的甲状腺癌；</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3.TNM 分期为 T1N0M0期或更轻分期的前列腺癌；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4.黑色素瘤以外的未发生淋巴结和远处转移的皮肤恶性肿瘤；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5.相当于 Binet 分期方案A期程度的慢性淋巴细胞白血病；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6.相当于 Ann Arbor分期方案Ⅰ期程度的何杰金氏病； </w:t>
            </w:r>
          </w:p>
          <w:p>
            <w:pPr>
              <w:widowControl/>
              <w:jc w:val="left"/>
              <w:rPr>
                <w:rFonts w:hint="eastAsia" w:ascii="黑体" w:hAnsi="黑体" w:eastAsia="黑体" w:cs="黑体"/>
                <w:sz w:val="22"/>
                <w:szCs w:val="22"/>
              </w:rPr>
            </w:pPr>
            <w:r>
              <w:rPr>
                <w:rFonts w:hint="eastAsia" w:ascii="黑体" w:hAnsi="黑体" w:eastAsia="黑体" w:cs="黑体"/>
                <w:sz w:val="22"/>
                <w:szCs w:val="22"/>
              </w:rPr>
              <w:t>7.未发生淋巴结和远处转移且 WHO分级为 G1 级别（核分裂像&lt;10/50HPF和ki-67≤2%）或更轻分级的神经内分泌肿瘤。</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甲状腺癌的TNM分期采用目前现行的AJCC第八版定义标准，我国国家卫生健康委员会2018年发布的《甲状腺癌诊疗规范（2018 年版）》也采用此定义标准，具体见下：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甲状腺乳头状癌、滤泡癌、低分化癌、Hürthle 细胞癌和未分化癌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pTX：原发肿瘤不能评估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pT0：无肿瘤证据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pT1：肿瘤局限在甲状腺内，最大径≤2cm </w:t>
            </w:r>
          </w:p>
          <w:p>
            <w:pPr>
              <w:widowControl/>
              <w:ind w:firstLine="220" w:firstLineChars="100"/>
              <w:jc w:val="left"/>
              <w:rPr>
                <w:rFonts w:hint="eastAsia" w:ascii="黑体" w:hAnsi="黑体" w:eastAsia="黑体" w:cs="黑体"/>
                <w:sz w:val="22"/>
                <w:szCs w:val="22"/>
              </w:rPr>
            </w:pPr>
            <w:r>
              <w:rPr>
                <w:rFonts w:hint="eastAsia" w:ascii="黑体" w:hAnsi="黑体" w:eastAsia="黑体" w:cs="黑体"/>
                <w:sz w:val="22"/>
                <w:szCs w:val="22"/>
              </w:rPr>
              <w:t xml:space="preserve">T1a肿瘤最大径≤1cm </w:t>
            </w:r>
          </w:p>
          <w:p>
            <w:pPr>
              <w:widowControl/>
              <w:ind w:firstLine="220" w:firstLineChars="100"/>
              <w:jc w:val="left"/>
              <w:rPr>
                <w:rFonts w:hint="eastAsia" w:ascii="黑体" w:hAnsi="黑体" w:eastAsia="黑体" w:cs="黑体"/>
                <w:sz w:val="22"/>
                <w:szCs w:val="22"/>
              </w:rPr>
            </w:pPr>
            <w:r>
              <w:rPr>
                <w:rFonts w:hint="eastAsia" w:ascii="黑体" w:hAnsi="黑体" w:eastAsia="黑体" w:cs="黑体"/>
                <w:sz w:val="22"/>
                <w:szCs w:val="22"/>
              </w:rPr>
              <w:t xml:space="preserve">T1b肿瘤最大径＞1cm，≤2cm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pT2：肿瘤 2～4cm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pT3：肿瘤&gt;4cm，局限于甲状腺内或大体侵犯甲状腺外带状肌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pT3a：肿瘤&gt;4cm，局限于甲状腺内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pT3b：大体侵犯甲状腺外带状肌，无论肿瘤大小 </w:t>
            </w:r>
          </w:p>
          <w:p>
            <w:pPr>
              <w:widowControl/>
              <w:ind w:firstLine="660" w:firstLineChars="300"/>
              <w:jc w:val="left"/>
              <w:rPr>
                <w:rFonts w:hint="eastAsia" w:ascii="黑体" w:hAnsi="黑体" w:eastAsia="黑体" w:cs="黑体"/>
                <w:sz w:val="22"/>
                <w:szCs w:val="22"/>
              </w:rPr>
            </w:pPr>
            <w:r>
              <w:rPr>
                <w:rFonts w:hint="eastAsia" w:ascii="黑体" w:hAnsi="黑体" w:eastAsia="黑体" w:cs="黑体"/>
                <w:sz w:val="22"/>
                <w:szCs w:val="22"/>
              </w:rPr>
              <w:t xml:space="preserve">带状肌包括：胸骨舌骨肌、胸骨甲状肌、甲状舌骨肌、肩胛舌骨肌 </w:t>
            </w:r>
          </w:p>
          <w:p>
            <w:pPr>
              <w:widowControl/>
              <w:jc w:val="left"/>
              <w:rPr>
                <w:rFonts w:hint="eastAsia" w:ascii="黑体" w:hAnsi="黑体" w:eastAsia="黑体" w:cs="黑体"/>
                <w:sz w:val="22"/>
                <w:szCs w:val="22"/>
              </w:rPr>
            </w:pPr>
            <w:r>
              <w:rPr>
                <w:rFonts w:hint="eastAsia" w:ascii="黑体" w:hAnsi="黑体" w:eastAsia="黑体" w:cs="黑体"/>
                <w:sz w:val="22"/>
                <w:szCs w:val="22"/>
              </w:rPr>
              <w:t>pT4：大体侵犯甲状腺外带状肌外</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pT4a：侵犯喉、气管、食管、喉反神经及皮下软组织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pT4b：侵犯椎前筋膜，或包裹颈动脉、纵隔血管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甲状腺髓样癌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pTX：原发肿瘤不能评估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pT0：无肿瘤证据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pT1：肿瘤局限在甲状腺内，最大径≤2cm </w:t>
            </w:r>
          </w:p>
          <w:p>
            <w:pPr>
              <w:widowControl/>
              <w:ind w:firstLine="440" w:firstLineChars="200"/>
              <w:jc w:val="left"/>
              <w:rPr>
                <w:rFonts w:hint="eastAsia" w:ascii="黑体" w:hAnsi="黑体" w:eastAsia="黑体" w:cs="黑体"/>
                <w:sz w:val="22"/>
                <w:szCs w:val="22"/>
              </w:rPr>
            </w:pPr>
            <w:r>
              <w:rPr>
                <w:rFonts w:hint="eastAsia" w:ascii="黑体" w:hAnsi="黑体" w:eastAsia="黑体" w:cs="黑体"/>
                <w:sz w:val="22"/>
                <w:szCs w:val="22"/>
              </w:rPr>
              <w:t xml:space="preserve">T1a肿瘤最大径≤1cm </w:t>
            </w:r>
          </w:p>
          <w:p>
            <w:pPr>
              <w:widowControl/>
              <w:ind w:firstLine="440" w:firstLineChars="200"/>
              <w:jc w:val="left"/>
              <w:rPr>
                <w:rFonts w:hint="eastAsia" w:ascii="黑体" w:hAnsi="黑体" w:eastAsia="黑体" w:cs="黑体"/>
                <w:sz w:val="22"/>
                <w:szCs w:val="22"/>
              </w:rPr>
            </w:pPr>
            <w:r>
              <w:rPr>
                <w:rFonts w:hint="eastAsia" w:ascii="黑体" w:hAnsi="黑体" w:eastAsia="黑体" w:cs="黑体"/>
                <w:sz w:val="22"/>
                <w:szCs w:val="22"/>
              </w:rPr>
              <w:t xml:space="preserve">T1b肿瘤最大径＞1cm，≤2cm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pT2：肿瘤 2～4cm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pT3：肿瘤&gt;4cm，局限于甲状腺内或大体侵犯甲状腺外带状肌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pT3a：肿瘤&gt;4cm，局限于甲状腺内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pT3b：大体侵犯甲状腺外带状肌，无论肿瘤大小 </w:t>
            </w:r>
          </w:p>
          <w:p>
            <w:pPr>
              <w:widowControl/>
              <w:ind w:firstLine="660" w:firstLineChars="300"/>
              <w:jc w:val="left"/>
              <w:rPr>
                <w:rFonts w:hint="eastAsia" w:ascii="黑体" w:hAnsi="黑体" w:eastAsia="黑体" w:cs="黑体"/>
                <w:sz w:val="22"/>
                <w:szCs w:val="22"/>
              </w:rPr>
            </w:pPr>
            <w:r>
              <w:rPr>
                <w:rFonts w:hint="eastAsia" w:ascii="黑体" w:hAnsi="黑体" w:eastAsia="黑体" w:cs="黑体"/>
                <w:sz w:val="22"/>
                <w:szCs w:val="22"/>
              </w:rPr>
              <w:t xml:space="preserve">带状肌包括：胸骨舌骨肌、胸骨甲状肌、甲状舌骨肌、肩胛舌骨肌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pT4：进展期病变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pT4a：中度进展，任何大小的肿瘤，侵犯甲状腺外颈部周围器官和软组织，如喉、气管、食 管、喉反神经及皮下软组织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pT4b：重度进展，任何大小的肿瘤，侵犯椎前筋膜，或包裹颈动脉、纵隔血管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区域淋巴结：适用于所有甲状腺癌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pNx：区域淋巴结无法评估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pN0：无淋巴结转移证据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pN1：区域淋巴结转移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pN1a：转移至Ⅵ、Ⅶ区（包括气管旁、气管前、喉前/Delphian 或上纵隔）淋巴结，可以为单侧或双侧。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pN1b：单侧、双侧或对侧颈淋巴结转移（包括Ⅰ、Ⅱ、Ⅲ、Ⅳ或Ⅴ区）淋巴结或咽后淋巴结转移。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远处转移：适用于所有甲状腺癌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M0：无远处转移 </w:t>
            </w:r>
          </w:p>
          <w:p>
            <w:pPr>
              <w:widowControl/>
              <w:jc w:val="left"/>
              <w:rPr>
                <w:rFonts w:hint="eastAsia" w:ascii="黑体" w:hAnsi="黑体" w:eastAsia="黑体" w:cs="黑体"/>
                <w:sz w:val="22"/>
                <w:szCs w:val="22"/>
              </w:rPr>
            </w:pPr>
            <w:r>
              <w:rPr>
                <w:rFonts w:hint="eastAsia" w:ascii="黑体" w:hAnsi="黑体" w:eastAsia="黑体" w:cs="黑体"/>
                <w:sz w:val="22"/>
                <w:szCs w:val="22"/>
              </w:rPr>
              <w:t>M1：有远处转移</w:t>
            </w:r>
          </w:p>
          <w:p>
            <w:pPr>
              <w:widowControl/>
              <w:jc w:val="left"/>
              <w:rPr>
                <w:rFonts w:hint="eastAsia" w:ascii="黑体" w:hAnsi="黑体" w:eastAsia="黑体" w:cs="黑体"/>
                <w:sz w:val="22"/>
                <w:szCs w:val="22"/>
              </w:rPr>
            </w:pPr>
          </w:p>
          <w:tbl>
            <w:tblPr>
              <w:tblStyle w:val="225"/>
              <w:tblW w:w="4473" w:type="dxa"/>
              <w:jc w:val="center"/>
              <w:tblLayout w:type="fixed"/>
              <w:tblCellMar>
                <w:top w:w="0" w:type="dxa"/>
                <w:left w:w="0" w:type="dxa"/>
                <w:bottom w:w="0" w:type="dxa"/>
                <w:right w:w="115" w:type="dxa"/>
              </w:tblCellMar>
            </w:tblPr>
            <w:tblGrid>
              <w:gridCol w:w="2079"/>
              <w:gridCol w:w="1056"/>
              <w:gridCol w:w="825"/>
              <w:gridCol w:w="513"/>
            </w:tblGrid>
            <w:tr>
              <w:tblPrEx>
                <w:tblCellMar>
                  <w:top w:w="0" w:type="dxa"/>
                  <w:left w:w="0" w:type="dxa"/>
                  <w:bottom w:w="0" w:type="dxa"/>
                  <w:right w:w="115" w:type="dxa"/>
                </w:tblCellMar>
              </w:tblPrEx>
              <w:trPr>
                <w:trHeight w:val="322" w:hRule="atLeast"/>
                <w:jc w:val="center"/>
              </w:trPr>
              <w:tc>
                <w:tcPr>
                  <w:tcW w:w="3135" w:type="dxa"/>
                  <w:gridSpan w:val="2"/>
                  <w:tcBorders>
                    <w:top w:val="single" w:color="000000" w:sz="4" w:space="0"/>
                    <w:left w:val="single" w:color="000000" w:sz="4" w:space="0"/>
                    <w:bottom w:val="single" w:color="000000" w:sz="4" w:space="0"/>
                    <w:right w:val="nil"/>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乳头状或滤泡状癌（分化型）</w:t>
                  </w:r>
                </w:p>
              </w:tc>
              <w:tc>
                <w:tcPr>
                  <w:tcW w:w="825" w:type="dxa"/>
                  <w:tcBorders>
                    <w:top w:val="single" w:color="000000" w:sz="4" w:space="0"/>
                    <w:left w:val="nil"/>
                    <w:bottom w:val="single" w:color="000000" w:sz="4" w:space="0"/>
                    <w:right w:val="nil"/>
                  </w:tcBorders>
                </w:tcPr>
                <w:p>
                  <w:pPr>
                    <w:spacing w:after="160" w:line="259" w:lineRule="auto"/>
                    <w:jc w:val="center"/>
                    <w:rPr>
                      <w:rFonts w:hint="eastAsia" w:ascii="黑体" w:hAnsi="黑体" w:eastAsia="黑体" w:cs="黑体"/>
                      <w:sz w:val="22"/>
                      <w:szCs w:val="22"/>
                    </w:rPr>
                  </w:pPr>
                </w:p>
              </w:tc>
              <w:tc>
                <w:tcPr>
                  <w:tcW w:w="513" w:type="dxa"/>
                  <w:tcBorders>
                    <w:top w:val="single" w:color="000000" w:sz="4" w:space="0"/>
                    <w:left w:val="nil"/>
                    <w:bottom w:val="single" w:color="000000" w:sz="4" w:space="0"/>
                    <w:right w:val="single" w:color="000000" w:sz="4" w:space="0"/>
                  </w:tcBorders>
                </w:tcPr>
                <w:p>
                  <w:pPr>
                    <w:spacing w:after="160" w:line="259" w:lineRule="auto"/>
                    <w:jc w:val="center"/>
                    <w:rPr>
                      <w:rFonts w:hint="eastAsia" w:ascii="黑体" w:hAnsi="黑体" w:eastAsia="黑体" w:cs="黑体"/>
                      <w:sz w:val="22"/>
                      <w:szCs w:val="22"/>
                    </w:rPr>
                  </w:pPr>
                </w:p>
              </w:tc>
            </w:tr>
            <w:tr>
              <w:tblPrEx>
                <w:tblCellMar>
                  <w:top w:w="0" w:type="dxa"/>
                  <w:left w:w="0" w:type="dxa"/>
                  <w:bottom w:w="0" w:type="dxa"/>
                  <w:right w:w="115" w:type="dxa"/>
                </w:tblCellMar>
              </w:tblPrEx>
              <w:trPr>
                <w:trHeight w:val="324" w:hRule="atLeast"/>
                <w:jc w:val="center"/>
              </w:trPr>
              <w:tc>
                <w:tcPr>
                  <w:tcW w:w="3135" w:type="dxa"/>
                  <w:gridSpan w:val="2"/>
                  <w:tcBorders>
                    <w:top w:val="single" w:color="000000" w:sz="4" w:space="0"/>
                    <w:left w:val="single" w:color="000000" w:sz="4" w:space="0"/>
                    <w:bottom w:val="single" w:color="000000" w:sz="4" w:space="0"/>
                    <w:right w:val="nil"/>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年龄&lt;55岁</w:t>
                  </w:r>
                </w:p>
              </w:tc>
              <w:tc>
                <w:tcPr>
                  <w:tcW w:w="825" w:type="dxa"/>
                  <w:tcBorders>
                    <w:top w:val="single" w:color="000000" w:sz="4" w:space="0"/>
                    <w:left w:val="nil"/>
                    <w:bottom w:val="single" w:color="000000" w:sz="4" w:space="0"/>
                    <w:right w:val="nil"/>
                  </w:tcBorders>
                </w:tcPr>
                <w:p>
                  <w:pPr>
                    <w:spacing w:after="160" w:line="259" w:lineRule="auto"/>
                    <w:jc w:val="center"/>
                    <w:rPr>
                      <w:rFonts w:hint="eastAsia" w:ascii="黑体" w:hAnsi="黑体" w:eastAsia="黑体" w:cs="黑体"/>
                      <w:sz w:val="22"/>
                      <w:szCs w:val="22"/>
                    </w:rPr>
                  </w:pPr>
                </w:p>
              </w:tc>
              <w:tc>
                <w:tcPr>
                  <w:tcW w:w="513" w:type="dxa"/>
                  <w:tcBorders>
                    <w:top w:val="single" w:color="000000" w:sz="4" w:space="0"/>
                    <w:left w:val="nil"/>
                    <w:bottom w:val="single" w:color="000000" w:sz="4" w:space="0"/>
                    <w:right w:val="single" w:color="000000" w:sz="4" w:space="0"/>
                  </w:tcBorders>
                </w:tcPr>
                <w:p>
                  <w:pPr>
                    <w:spacing w:after="160" w:line="259" w:lineRule="auto"/>
                    <w:jc w:val="center"/>
                    <w:rPr>
                      <w:rFonts w:hint="eastAsia" w:ascii="黑体" w:hAnsi="黑体" w:eastAsia="黑体" w:cs="黑体"/>
                      <w:sz w:val="22"/>
                      <w:szCs w:val="22"/>
                    </w:rPr>
                  </w:pPr>
                </w:p>
              </w:tc>
            </w:tr>
            <w:tr>
              <w:tblPrEx>
                <w:tblCellMar>
                  <w:top w:w="0" w:type="dxa"/>
                  <w:left w:w="0" w:type="dxa"/>
                  <w:bottom w:w="0" w:type="dxa"/>
                  <w:right w:w="115" w:type="dxa"/>
                </w:tblCellMar>
              </w:tblPrEx>
              <w:trPr>
                <w:trHeight w:val="322" w:hRule="atLeast"/>
                <w:jc w:val="center"/>
              </w:trPr>
              <w:tc>
                <w:tcPr>
                  <w:tcW w:w="2079"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T</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N</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8"/>
                    <w:jc w:val="center"/>
                    <w:rPr>
                      <w:rFonts w:hint="eastAsia" w:ascii="黑体" w:hAnsi="黑体" w:eastAsia="黑体" w:cs="黑体"/>
                      <w:sz w:val="22"/>
                      <w:szCs w:val="22"/>
                    </w:rPr>
                  </w:pPr>
                  <w:r>
                    <w:rPr>
                      <w:rFonts w:hint="eastAsia" w:ascii="黑体" w:hAnsi="黑体" w:eastAsia="黑体" w:cs="黑体"/>
                      <w:sz w:val="22"/>
                      <w:szCs w:val="22"/>
                    </w:rPr>
                    <w:t>M</w:t>
                  </w:r>
                </w:p>
              </w:tc>
            </w:tr>
            <w:tr>
              <w:tblPrEx>
                <w:tblCellMar>
                  <w:top w:w="0" w:type="dxa"/>
                  <w:left w:w="0" w:type="dxa"/>
                  <w:bottom w:w="0" w:type="dxa"/>
                  <w:right w:w="115" w:type="dxa"/>
                </w:tblCellMar>
              </w:tblPrEx>
              <w:trPr>
                <w:trHeight w:val="324" w:hRule="atLeast"/>
                <w:jc w:val="center"/>
              </w:trPr>
              <w:tc>
                <w:tcPr>
                  <w:tcW w:w="2079"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Ⅰ期</w:t>
                  </w: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任何</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任何</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8"/>
                    <w:jc w:val="center"/>
                    <w:rPr>
                      <w:rFonts w:hint="eastAsia" w:ascii="黑体" w:hAnsi="黑体" w:eastAsia="黑体" w:cs="黑体"/>
                      <w:sz w:val="22"/>
                      <w:szCs w:val="22"/>
                    </w:rPr>
                  </w:pPr>
                  <w:r>
                    <w:rPr>
                      <w:rFonts w:hint="eastAsia" w:ascii="黑体" w:hAnsi="黑体" w:eastAsia="黑体" w:cs="黑体"/>
                      <w:sz w:val="22"/>
                      <w:szCs w:val="22"/>
                    </w:rPr>
                    <w:t>0</w:t>
                  </w:r>
                </w:p>
              </w:tc>
            </w:tr>
            <w:tr>
              <w:tblPrEx>
                <w:tblCellMar>
                  <w:top w:w="0" w:type="dxa"/>
                  <w:left w:w="0" w:type="dxa"/>
                  <w:bottom w:w="0" w:type="dxa"/>
                  <w:right w:w="115" w:type="dxa"/>
                </w:tblCellMar>
              </w:tblPrEx>
              <w:trPr>
                <w:trHeight w:val="324" w:hRule="atLeast"/>
                <w:jc w:val="center"/>
              </w:trPr>
              <w:tc>
                <w:tcPr>
                  <w:tcW w:w="2079" w:type="dxa"/>
                  <w:tcBorders>
                    <w:top w:val="single" w:color="000000" w:sz="4" w:space="0"/>
                    <w:left w:val="single" w:color="000000" w:sz="4" w:space="0"/>
                    <w:bottom w:val="single" w:color="auto"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Ⅱ期</w:t>
                  </w:r>
                </w:p>
              </w:tc>
              <w:tc>
                <w:tcPr>
                  <w:tcW w:w="1056" w:type="dxa"/>
                  <w:tcBorders>
                    <w:top w:val="single" w:color="000000" w:sz="4" w:space="0"/>
                    <w:left w:val="single" w:color="000000" w:sz="4" w:space="0"/>
                    <w:bottom w:val="single" w:color="auto"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任何</w:t>
                  </w:r>
                </w:p>
              </w:tc>
              <w:tc>
                <w:tcPr>
                  <w:tcW w:w="825" w:type="dxa"/>
                  <w:tcBorders>
                    <w:top w:val="single" w:color="000000" w:sz="4" w:space="0"/>
                    <w:left w:val="single" w:color="000000" w:sz="4" w:space="0"/>
                    <w:bottom w:val="single" w:color="auto"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任何</w:t>
                  </w:r>
                </w:p>
              </w:tc>
              <w:tc>
                <w:tcPr>
                  <w:tcW w:w="513" w:type="dxa"/>
                  <w:tcBorders>
                    <w:top w:val="single" w:color="000000" w:sz="4" w:space="0"/>
                    <w:left w:val="single" w:color="000000" w:sz="4" w:space="0"/>
                    <w:bottom w:val="single" w:color="auto" w:sz="4" w:space="0"/>
                    <w:right w:val="single" w:color="000000" w:sz="4" w:space="0"/>
                  </w:tcBorders>
                </w:tcPr>
                <w:p>
                  <w:pPr>
                    <w:spacing w:line="259" w:lineRule="auto"/>
                    <w:ind w:left="8"/>
                    <w:jc w:val="center"/>
                    <w:rPr>
                      <w:rFonts w:hint="eastAsia" w:ascii="黑体" w:hAnsi="黑体" w:eastAsia="黑体" w:cs="黑体"/>
                      <w:sz w:val="22"/>
                      <w:szCs w:val="22"/>
                    </w:rPr>
                  </w:pPr>
                  <w:r>
                    <w:rPr>
                      <w:rFonts w:hint="eastAsia" w:ascii="黑体" w:hAnsi="黑体" w:eastAsia="黑体" w:cs="黑体"/>
                      <w:sz w:val="22"/>
                      <w:szCs w:val="22"/>
                    </w:rPr>
                    <w:t>1</w:t>
                  </w:r>
                </w:p>
              </w:tc>
            </w:tr>
            <w:tr>
              <w:tblPrEx>
                <w:tblCellMar>
                  <w:top w:w="0" w:type="dxa"/>
                  <w:left w:w="0" w:type="dxa"/>
                  <w:bottom w:w="0" w:type="dxa"/>
                  <w:right w:w="115" w:type="dxa"/>
                </w:tblCellMar>
              </w:tblPrEx>
              <w:trPr>
                <w:trHeight w:val="322" w:hRule="atLeast"/>
                <w:jc w:val="center"/>
              </w:trPr>
              <w:tc>
                <w:tcPr>
                  <w:tcW w:w="3135" w:type="dxa"/>
                  <w:gridSpan w:val="2"/>
                  <w:tcBorders>
                    <w:top w:val="single" w:color="auto" w:sz="4" w:space="0"/>
                    <w:left w:val="single" w:color="auto" w:sz="4" w:space="0"/>
                    <w:bottom w:val="single" w:color="auto" w:sz="4" w:space="0"/>
                    <w:right w:val="single" w:color="auto" w:sz="4" w:space="0"/>
                  </w:tcBorders>
                </w:tcPr>
                <w:p>
                  <w:pPr>
                    <w:spacing w:line="259" w:lineRule="auto"/>
                    <w:ind w:left="-42"/>
                    <w:jc w:val="center"/>
                    <w:rPr>
                      <w:rFonts w:hint="eastAsia" w:ascii="黑体" w:hAnsi="黑体" w:eastAsia="黑体" w:cs="黑体"/>
                      <w:sz w:val="22"/>
                      <w:szCs w:val="22"/>
                    </w:rPr>
                  </w:pPr>
                  <w:r>
                    <w:rPr>
                      <w:rFonts w:hint="eastAsia" w:ascii="黑体" w:hAnsi="黑体" w:eastAsia="黑体" w:cs="黑体"/>
                      <w:sz w:val="22"/>
                      <w:szCs w:val="22"/>
                    </w:rPr>
                    <w:t>年龄≥55岁</w:t>
                  </w:r>
                </w:p>
              </w:tc>
              <w:tc>
                <w:tcPr>
                  <w:tcW w:w="825" w:type="dxa"/>
                  <w:tcBorders>
                    <w:top w:val="single" w:color="auto" w:sz="4" w:space="0"/>
                    <w:left w:val="single" w:color="auto" w:sz="4" w:space="0"/>
                    <w:bottom w:val="single" w:color="auto" w:sz="4" w:space="0"/>
                    <w:right w:val="single" w:color="auto" w:sz="4" w:space="0"/>
                  </w:tcBorders>
                </w:tcPr>
                <w:p>
                  <w:pPr>
                    <w:spacing w:after="160" w:line="259" w:lineRule="auto"/>
                    <w:jc w:val="center"/>
                    <w:rPr>
                      <w:rFonts w:hint="eastAsia" w:ascii="黑体" w:hAnsi="黑体" w:eastAsia="黑体" w:cs="黑体"/>
                      <w:sz w:val="22"/>
                      <w:szCs w:val="22"/>
                    </w:rPr>
                  </w:pPr>
                </w:p>
              </w:tc>
              <w:tc>
                <w:tcPr>
                  <w:tcW w:w="513" w:type="dxa"/>
                  <w:tcBorders>
                    <w:top w:val="single" w:color="auto" w:sz="4" w:space="0"/>
                    <w:left w:val="single" w:color="auto" w:sz="4" w:space="0"/>
                    <w:bottom w:val="single" w:color="auto" w:sz="4" w:space="0"/>
                    <w:right w:val="single" w:color="auto" w:sz="4" w:space="0"/>
                  </w:tcBorders>
                </w:tcPr>
                <w:p>
                  <w:pPr>
                    <w:spacing w:after="160" w:line="259" w:lineRule="auto"/>
                    <w:jc w:val="center"/>
                    <w:rPr>
                      <w:rFonts w:hint="eastAsia" w:ascii="黑体" w:hAnsi="黑体" w:eastAsia="黑体" w:cs="黑体"/>
                      <w:sz w:val="22"/>
                      <w:szCs w:val="22"/>
                    </w:rPr>
                  </w:pPr>
                </w:p>
              </w:tc>
            </w:tr>
            <w:tr>
              <w:tblPrEx>
                <w:tblCellMar>
                  <w:top w:w="0" w:type="dxa"/>
                  <w:left w:w="0" w:type="dxa"/>
                  <w:bottom w:w="0" w:type="dxa"/>
                  <w:right w:w="115" w:type="dxa"/>
                </w:tblCellMar>
              </w:tblPrEx>
              <w:trPr>
                <w:trHeight w:val="324" w:hRule="atLeast"/>
                <w:jc w:val="center"/>
              </w:trPr>
              <w:tc>
                <w:tcPr>
                  <w:tcW w:w="2079" w:type="dxa"/>
                  <w:vMerge w:val="restart"/>
                  <w:tcBorders>
                    <w:top w:val="single" w:color="auto"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Ⅰ期</w:t>
                  </w:r>
                </w:p>
              </w:tc>
              <w:tc>
                <w:tcPr>
                  <w:tcW w:w="1056" w:type="dxa"/>
                  <w:tcBorders>
                    <w:top w:val="single" w:color="auto"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1</w:t>
                  </w:r>
                </w:p>
              </w:tc>
              <w:tc>
                <w:tcPr>
                  <w:tcW w:w="825" w:type="dxa"/>
                  <w:tcBorders>
                    <w:top w:val="single" w:color="auto"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0/x</w:t>
                  </w:r>
                </w:p>
              </w:tc>
              <w:tc>
                <w:tcPr>
                  <w:tcW w:w="513" w:type="dxa"/>
                  <w:tcBorders>
                    <w:top w:val="single" w:color="auto" w:sz="4" w:space="0"/>
                    <w:left w:val="single" w:color="000000" w:sz="4" w:space="0"/>
                    <w:bottom w:val="single" w:color="000000" w:sz="4" w:space="0"/>
                    <w:right w:val="single" w:color="000000" w:sz="4" w:space="0"/>
                  </w:tcBorders>
                </w:tcPr>
                <w:p>
                  <w:pPr>
                    <w:spacing w:line="259" w:lineRule="auto"/>
                    <w:ind w:left="8"/>
                    <w:jc w:val="center"/>
                    <w:rPr>
                      <w:rFonts w:hint="eastAsia" w:ascii="黑体" w:hAnsi="黑体" w:eastAsia="黑体" w:cs="黑体"/>
                      <w:sz w:val="22"/>
                      <w:szCs w:val="22"/>
                    </w:rPr>
                  </w:pPr>
                  <w:r>
                    <w:rPr>
                      <w:rFonts w:hint="eastAsia" w:ascii="黑体" w:hAnsi="黑体" w:eastAsia="黑体" w:cs="黑体"/>
                      <w:sz w:val="22"/>
                      <w:szCs w:val="22"/>
                    </w:rPr>
                    <w:t>0</w:t>
                  </w:r>
                </w:p>
              </w:tc>
            </w:tr>
            <w:tr>
              <w:tblPrEx>
                <w:tblCellMar>
                  <w:top w:w="0" w:type="dxa"/>
                  <w:left w:w="0" w:type="dxa"/>
                  <w:bottom w:w="0" w:type="dxa"/>
                  <w:right w:w="115" w:type="dxa"/>
                </w:tblCellMar>
              </w:tblPrEx>
              <w:trPr>
                <w:trHeight w:val="325" w:hRule="atLeast"/>
                <w:jc w:val="center"/>
              </w:trPr>
              <w:tc>
                <w:tcPr>
                  <w:tcW w:w="2079" w:type="dxa"/>
                  <w:vMerge w:val="continue"/>
                  <w:tcBorders>
                    <w:top w:val="nil"/>
                    <w:left w:val="single" w:color="000000" w:sz="4" w:space="0"/>
                    <w:bottom w:val="single" w:color="000000" w:sz="4" w:space="0"/>
                    <w:right w:val="single" w:color="000000" w:sz="4" w:space="0"/>
                  </w:tcBorders>
                </w:tcPr>
                <w:p>
                  <w:pPr>
                    <w:spacing w:after="160" w:line="259" w:lineRule="auto"/>
                    <w:jc w:val="center"/>
                    <w:rPr>
                      <w:rFonts w:hint="eastAsia" w:ascii="黑体" w:hAnsi="黑体" w:eastAsia="黑体" w:cs="黑体"/>
                      <w:sz w:val="22"/>
                      <w:szCs w:val="22"/>
                    </w:rPr>
                  </w:pP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2</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0/x</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8"/>
                    <w:jc w:val="center"/>
                    <w:rPr>
                      <w:rFonts w:hint="eastAsia" w:ascii="黑体" w:hAnsi="黑体" w:eastAsia="黑体" w:cs="黑体"/>
                      <w:sz w:val="22"/>
                      <w:szCs w:val="22"/>
                    </w:rPr>
                  </w:pPr>
                  <w:r>
                    <w:rPr>
                      <w:rFonts w:hint="eastAsia" w:ascii="黑体" w:hAnsi="黑体" w:eastAsia="黑体" w:cs="黑体"/>
                      <w:sz w:val="22"/>
                      <w:szCs w:val="22"/>
                    </w:rPr>
                    <w:t>0</w:t>
                  </w:r>
                </w:p>
              </w:tc>
            </w:tr>
            <w:tr>
              <w:tblPrEx>
                <w:tblCellMar>
                  <w:top w:w="0" w:type="dxa"/>
                  <w:left w:w="0" w:type="dxa"/>
                  <w:bottom w:w="0" w:type="dxa"/>
                  <w:right w:w="115" w:type="dxa"/>
                </w:tblCellMar>
              </w:tblPrEx>
              <w:trPr>
                <w:trHeight w:val="322" w:hRule="atLeast"/>
                <w:jc w:val="center"/>
              </w:trPr>
              <w:tc>
                <w:tcPr>
                  <w:tcW w:w="2079" w:type="dxa"/>
                  <w:vMerge w:val="restart"/>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Ⅱ期</w:t>
                  </w: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1～2</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1</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8"/>
                    <w:jc w:val="center"/>
                    <w:rPr>
                      <w:rFonts w:hint="eastAsia" w:ascii="黑体" w:hAnsi="黑体" w:eastAsia="黑体" w:cs="黑体"/>
                      <w:sz w:val="22"/>
                      <w:szCs w:val="22"/>
                    </w:rPr>
                  </w:pPr>
                  <w:r>
                    <w:rPr>
                      <w:rFonts w:hint="eastAsia" w:ascii="黑体" w:hAnsi="黑体" w:eastAsia="黑体" w:cs="黑体"/>
                      <w:sz w:val="22"/>
                      <w:szCs w:val="22"/>
                    </w:rPr>
                    <w:t>0</w:t>
                  </w:r>
                </w:p>
              </w:tc>
            </w:tr>
            <w:tr>
              <w:tblPrEx>
                <w:tblCellMar>
                  <w:top w:w="0" w:type="dxa"/>
                  <w:left w:w="0" w:type="dxa"/>
                  <w:bottom w:w="0" w:type="dxa"/>
                  <w:right w:w="115" w:type="dxa"/>
                </w:tblCellMar>
              </w:tblPrEx>
              <w:trPr>
                <w:trHeight w:val="324" w:hRule="atLeast"/>
                <w:jc w:val="center"/>
              </w:trPr>
              <w:tc>
                <w:tcPr>
                  <w:tcW w:w="2079" w:type="dxa"/>
                  <w:vMerge w:val="continue"/>
                  <w:tcBorders>
                    <w:top w:val="nil"/>
                    <w:left w:val="single" w:color="000000" w:sz="4" w:space="0"/>
                    <w:bottom w:val="single" w:color="000000" w:sz="4" w:space="0"/>
                    <w:right w:val="single" w:color="000000" w:sz="4" w:space="0"/>
                  </w:tcBorders>
                </w:tcPr>
                <w:p>
                  <w:pPr>
                    <w:spacing w:after="160" w:line="259" w:lineRule="auto"/>
                    <w:jc w:val="center"/>
                    <w:rPr>
                      <w:rFonts w:hint="eastAsia" w:ascii="黑体" w:hAnsi="黑体" w:eastAsia="黑体" w:cs="黑体"/>
                      <w:sz w:val="22"/>
                      <w:szCs w:val="22"/>
                    </w:rPr>
                  </w:pP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3a～3b</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任何</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8"/>
                    <w:jc w:val="center"/>
                    <w:rPr>
                      <w:rFonts w:hint="eastAsia" w:ascii="黑体" w:hAnsi="黑体" w:eastAsia="黑体" w:cs="黑体"/>
                      <w:sz w:val="22"/>
                      <w:szCs w:val="22"/>
                    </w:rPr>
                  </w:pPr>
                  <w:r>
                    <w:rPr>
                      <w:rFonts w:hint="eastAsia" w:ascii="黑体" w:hAnsi="黑体" w:eastAsia="黑体" w:cs="黑体"/>
                      <w:sz w:val="22"/>
                      <w:szCs w:val="22"/>
                    </w:rPr>
                    <w:t>0</w:t>
                  </w:r>
                </w:p>
              </w:tc>
            </w:tr>
            <w:tr>
              <w:tblPrEx>
                <w:tblCellMar>
                  <w:top w:w="0" w:type="dxa"/>
                  <w:left w:w="0" w:type="dxa"/>
                  <w:bottom w:w="0" w:type="dxa"/>
                  <w:right w:w="115" w:type="dxa"/>
                </w:tblCellMar>
              </w:tblPrEx>
              <w:trPr>
                <w:trHeight w:val="324" w:hRule="atLeast"/>
                <w:jc w:val="center"/>
              </w:trPr>
              <w:tc>
                <w:tcPr>
                  <w:tcW w:w="2079"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Ⅲ期</w:t>
                  </w: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4a</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任何</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8"/>
                    <w:jc w:val="center"/>
                    <w:rPr>
                      <w:rFonts w:hint="eastAsia" w:ascii="黑体" w:hAnsi="黑体" w:eastAsia="黑体" w:cs="黑体"/>
                      <w:sz w:val="22"/>
                      <w:szCs w:val="22"/>
                    </w:rPr>
                  </w:pPr>
                  <w:r>
                    <w:rPr>
                      <w:rFonts w:hint="eastAsia" w:ascii="黑体" w:hAnsi="黑体" w:eastAsia="黑体" w:cs="黑体"/>
                      <w:sz w:val="22"/>
                      <w:szCs w:val="22"/>
                    </w:rPr>
                    <w:t>0</w:t>
                  </w:r>
                </w:p>
              </w:tc>
            </w:tr>
            <w:tr>
              <w:tblPrEx>
                <w:tblCellMar>
                  <w:top w:w="0" w:type="dxa"/>
                  <w:left w:w="0" w:type="dxa"/>
                  <w:bottom w:w="0" w:type="dxa"/>
                  <w:right w:w="115" w:type="dxa"/>
                </w:tblCellMar>
              </w:tblPrEx>
              <w:trPr>
                <w:trHeight w:val="322" w:hRule="atLeast"/>
                <w:jc w:val="center"/>
              </w:trPr>
              <w:tc>
                <w:tcPr>
                  <w:tcW w:w="2079"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ⅣA期</w:t>
                  </w: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4b</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任何</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8"/>
                    <w:jc w:val="center"/>
                    <w:rPr>
                      <w:rFonts w:hint="eastAsia" w:ascii="黑体" w:hAnsi="黑体" w:eastAsia="黑体" w:cs="黑体"/>
                      <w:sz w:val="22"/>
                      <w:szCs w:val="22"/>
                    </w:rPr>
                  </w:pPr>
                  <w:r>
                    <w:rPr>
                      <w:rFonts w:hint="eastAsia" w:ascii="黑体" w:hAnsi="黑体" w:eastAsia="黑体" w:cs="黑体"/>
                      <w:sz w:val="22"/>
                      <w:szCs w:val="22"/>
                    </w:rPr>
                    <w:t>0</w:t>
                  </w:r>
                </w:p>
              </w:tc>
            </w:tr>
            <w:tr>
              <w:tblPrEx>
                <w:tblCellMar>
                  <w:top w:w="0" w:type="dxa"/>
                  <w:left w:w="0" w:type="dxa"/>
                  <w:bottom w:w="0" w:type="dxa"/>
                  <w:right w:w="115" w:type="dxa"/>
                </w:tblCellMar>
              </w:tblPrEx>
              <w:trPr>
                <w:trHeight w:val="324" w:hRule="atLeast"/>
                <w:jc w:val="center"/>
              </w:trPr>
              <w:tc>
                <w:tcPr>
                  <w:tcW w:w="2079"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ⅣB期</w:t>
                  </w: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任何</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任何</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8"/>
                    <w:jc w:val="center"/>
                    <w:rPr>
                      <w:rFonts w:hint="eastAsia" w:ascii="黑体" w:hAnsi="黑体" w:eastAsia="黑体" w:cs="黑体"/>
                      <w:sz w:val="22"/>
                      <w:szCs w:val="22"/>
                    </w:rPr>
                  </w:pPr>
                  <w:r>
                    <w:rPr>
                      <w:rFonts w:hint="eastAsia" w:ascii="黑体" w:hAnsi="黑体" w:eastAsia="黑体" w:cs="黑体"/>
                      <w:sz w:val="22"/>
                      <w:szCs w:val="22"/>
                    </w:rPr>
                    <w:t>1</w:t>
                  </w:r>
                </w:p>
              </w:tc>
            </w:tr>
            <w:tr>
              <w:tblPrEx>
                <w:tblCellMar>
                  <w:top w:w="0" w:type="dxa"/>
                  <w:left w:w="0" w:type="dxa"/>
                  <w:bottom w:w="0" w:type="dxa"/>
                  <w:right w:w="115" w:type="dxa"/>
                </w:tblCellMar>
              </w:tblPrEx>
              <w:trPr>
                <w:trHeight w:val="324" w:hRule="atLeast"/>
                <w:jc w:val="center"/>
              </w:trPr>
              <w:tc>
                <w:tcPr>
                  <w:tcW w:w="3135" w:type="dxa"/>
                  <w:gridSpan w:val="2"/>
                  <w:tcBorders>
                    <w:top w:val="single" w:color="000000" w:sz="4" w:space="0"/>
                    <w:left w:val="single" w:color="000000" w:sz="4" w:space="0"/>
                    <w:bottom w:val="single" w:color="000000" w:sz="4" w:space="0"/>
                    <w:right w:val="nil"/>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髓样癌（所有年龄组）</w:t>
                  </w:r>
                </w:p>
              </w:tc>
              <w:tc>
                <w:tcPr>
                  <w:tcW w:w="825" w:type="dxa"/>
                  <w:tcBorders>
                    <w:top w:val="single" w:color="000000" w:sz="4" w:space="0"/>
                    <w:left w:val="nil"/>
                    <w:bottom w:val="single" w:color="000000" w:sz="4" w:space="0"/>
                    <w:right w:val="nil"/>
                  </w:tcBorders>
                </w:tcPr>
                <w:p>
                  <w:pPr>
                    <w:spacing w:after="160" w:line="259" w:lineRule="auto"/>
                    <w:jc w:val="center"/>
                    <w:rPr>
                      <w:rFonts w:hint="eastAsia" w:ascii="黑体" w:hAnsi="黑体" w:eastAsia="黑体" w:cs="黑体"/>
                      <w:sz w:val="22"/>
                      <w:szCs w:val="22"/>
                    </w:rPr>
                  </w:pPr>
                </w:p>
              </w:tc>
              <w:tc>
                <w:tcPr>
                  <w:tcW w:w="513" w:type="dxa"/>
                  <w:tcBorders>
                    <w:top w:val="single" w:color="000000" w:sz="4" w:space="0"/>
                    <w:left w:val="nil"/>
                    <w:bottom w:val="single" w:color="000000" w:sz="4" w:space="0"/>
                    <w:right w:val="single" w:color="000000" w:sz="4" w:space="0"/>
                  </w:tcBorders>
                </w:tcPr>
                <w:p>
                  <w:pPr>
                    <w:spacing w:after="160" w:line="259" w:lineRule="auto"/>
                    <w:jc w:val="center"/>
                    <w:rPr>
                      <w:rFonts w:hint="eastAsia" w:ascii="黑体" w:hAnsi="黑体" w:eastAsia="黑体" w:cs="黑体"/>
                      <w:sz w:val="22"/>
                      <w:szCs w:val="22"/>
                    </w:rPr>
                  </w:pPr>
                </w:p>
              </w:tc>
            </w:tr>
            <w:tr>
              <w:tblPrEx>
                <w:tblCellMar>
                  <w:top w:w="0" w:type="dxa"/>
                  <w:left w:w="0" w:type="dxa"/>
                  <w:bottom w:w="0" w:type="dxa"/>
                  <w:right w:w="115" w:type="dxa"/>
                </w:tblCellMar>
              </w:tblPrEx>
              <w:trPr>
                <w:trHeight w:val="322" w:hRule="atLeast"/>
                <w:jc w:val="center"/>
              </w:trPr>
              <w:tc>
                <w:tcPr>
                  <w:tcW w:w="2079"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Ⅰ期</w:t>
                  </w: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1</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0</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8"/>
                    <w:jc w:val="center"/>
                    <w:rPr>
                      <w:rFonts w:hint="eastAsia" w:ascii="黑体" w:hAnsi="黑体" w:eastAsia="黑体" w:cs="黑体"/>
                      <w:sz w:val="22"/>
                      <w:szCs w:val="22"/>
                    </w:rPr>
                  </w:pPr>
                  <w:r>
                    <w:rPr>
                      <w:rFonts w:hint="eastAsia" w:ascii="黑体" w:hAnsi="黑体" w:eastAsia="黑体" w:cs="黑体"/>
                      <w:sz w:val="22"/>
                      <w:szCs w:val="22"/>
                    </w:rPr>
                    <w:t>0</w:t>
                  </w:r>
                </w:p>
              </w:tc>
            </w:tr>
            <w:tr>
              <w:tblPrEx>
                <w:tblCellMar>
                  <w:top w:w="0" w:type="dxa"/>
                  <w:left w:w="0" w:type="dxa"/>
                  <w:bottom w:w="0" w:type="dxa"/>
                  <w:right w:w="115" w:type="dxa"/>
                </w:tblCellMar>
              </w:tblPrEx>
              <w:trPr>
                <w:trHeight w:val="324" w:hRule="atLeast"/>
                <w:jc w:val="center"/>
              </w:trPr>
              <w:tc>
                <w:tcPr>
                  <w:tcW w:w="2079"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Ⅱ期</w:t>
                  </w: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2～3</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0</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8"/>
                    <w:jc w:val="center"/>
                    <w:rPr>
                      <w:rFonts w:hint="eastAsia" w:ascii="黑体" w:hAnsi="黑体" w:eastAsia="黑体" w:cs="黑体"/>
                      <w:sz w:val="22"/>
                      <w:szCs w:val="22"/>
                    </w:rPr>
                  </w:pPr>
                  <w:r>
                    <w:rPr>
                      <w:rFonts w:hint="eastAsia" w:ascii="黑体" w:hAnsi="黑体" w:eastAsia="黑体" w:cs="黑体"/>
                      <w:sz w:val="22"/>
                      <w:szCs w:val="22"/>
                    </w:rPr>
                    <w:t>0</w:t>
                  </w:r>
                </w:p>
              </w:tc>
            </w:tr>
            <w:tr>
              <w:tblPrEx>
                <w:tblCellMar>
                  <w:top w:w="0" w:type="dxa"/>
                  <w:left w:w="0" w:type="dxa"/>
                  <w:bottom w:w="0" w:type="dxa"/>
                  <w:right w:w="115" w:type="dxa"/>
                </w:tblCellMar>
              </w:tblPrEx>
              <w:trPr>
                <w:trHeight w:val="324" w:hRule="atLeast"/>
                <w:jc w:val="center"/>
              </w:trPr>
              <w:tc>
                <w:tcPr>
                  <w:tcW w:w="2079"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Ⅲ期</w:t>
                  </w: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1～3</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1a</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8"/>
                    <w:jc w:val="center"/>
                    <w:rPr>
                      <w:rFonts w:hint="eastAsia" w:ascii="黑体" w:hAnsi="黑体" w:eastAsia="黑体" w:cs="黑体"/>
                      <w:sz w:val="22"/>
                      <w:szCs w:val="22"/>
                    </w:rPr>
                  </w:pPr>
                  <w:r>
                    <w:rPr>
                      <w:rFonts w:hint="eastAsia" w:ascii="黑体" w:hAnsi="黑体" w:eastAsia="黑体" w:cs="黑体"/>
                      <w:sz w:val="22"/>
                      <w:szCs w:val="22"/>
                    </w:rPr>
                    <w:t>0</w:t>
                  </w:r>
                </w:p>
              </w:tc>
            </w:tr>
            <w:tr>
              <w:trPr>
                <w:trHeight w:val="324" w:hRule="atLeast"/>
                <w:jc w:val="center"/>
              </w:trPr>
              <w:tc>
                <w:tcPr>
                  <w:tcW w:w="2079"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ⅣA期</w:t>
                  </w: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4a</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ind w:left="5"/>
                    <w:jc w:val="center"/>
                    <w:rPr>
                      <w:rFonts w:hint="eastAsia" w:ascii="黑体" w:hAnsi="黑体" w:eastAsia="黑体" w:cs="黑体"/>
                      <w:sz w:val="22"/>
                      <w:szCs w:val="22"/>
                    </w:rPr>
                  </w:pPr>
                  <w:r>
                    <w:rPr>
                      <w:rFonts w:hint="eastAsia" w:ascii="黑体" w:hAnsi="黑体" w:eastAsia="黑体" w:cs="黑体"/>
                      <w:sz w:val="22"/>
                      <w:szCs w:val="22"/>
                    </w:rPr>
                    <w:t>任何</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8"/>
                    <w:jc w:val="center"/>
                    <w:rPr>
                      <w:rFonts w:hint="eastAsia" w:ascii="黑体" w:hAnsi="黑体" w:eastAsia="黑体" w:cs="黑体"/>
                      <w:sz w:val="22"/>
                      <w:szCs w:val="22"/>
                    </w:rPr>
                  </w:pPr>
                  <w:r>
                    <w:rPr>
                      <w:rFonts w:hint="eastAsia" w:ascii="黑体" w:hAnsi="黑体" w:eastAsia="黑体" w:cs="黑体"/>
                      <w:sz w:val="22"/>
                      <w:szCs w:val="22"/>
                    </w:rPr>
                    <w:t>0</w:t>
                  </w:r>
                </w:p>
              </w:tc>
            </w:tr>
            <w:tr>
              <w:tblPrEx>
                <w:tblCellMar>
                  <w:top w:w="0" w:type="dxa"/>
                  <w:left w:w="0" w:type="dxa"/>
                  <w:bottom w:w="0" w:type="dxa"/>
                  <w:right w:w="115" w:type="dxa"/>
                </w:tblCellMar>
              </w:tblPrEx>
              <w:trPr>
                <w:trHeight w:val="322" w:hRule="atLeast"/>
                <w:jc w:val="center"/>
              </w:trPr>
              <w:tc>
                <w:tcPr>
                  <w:tcW w:w="2079" w:type="dxa"/>
                  <w:tcBorders>
                    <w:top w:val="single" w:color="000000" w:sz="4" w:space="0"/>
                    <w:left w:val="single" w:color="000000" w:sz="4" w:space="0"/>
                    <w:bottom w:val="single" w:color="000000" w:sz="4" w:space="0"/>
                    <w:right w:val="single" w:color="000000" w:sz="4" w:space="0"/>
                  </w:tcBorders>
                </w:tcPr>
                <w:p>
                  <w:pPr>
                    <w:spacing w:after="160" w:line="259" w:lineRule="auto"/>
                    <w:jc w:val="center"/>
                    <w:rPr>
                      <w:rFonts w:hint="eastAsia" w:ascii="黑体" w:hAnsi="黑体" w:eastAsia="黑体" w:cs="黑体"/>
                      <w:sz w:val="22"/>
                      <w:szCs w:val="22"/>
                    </w:rPr>
                  </w:pP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1～3</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1b</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3"/>
                    <w:jc w:val="center"/>
                    <w:rPr>
                      <w:rFonts w:hint="eastAsia" w:ascii="黑体" w:hAnsi="黑体" w:eastAsia="黑体" w:cs="黑体"/>
                      <w:sz w:val="22"/>
                      <w:szCs w:val="22"/>
                    </w:rPr>
                  </w:pPr>
                  <w:r>
                    <w:rPr>
                      <w:rFonts w:hint="eastAsia" w:ascii="黑体" w:hAnsi="黑体" w:eastAsia="黑体" w:cs="黑体"/>
                      <w:sz w:val="22"/>
                      <w:szCs w:val="22"/>
                    </w:rPr>
                    <w:t>0</w:t>
                  </w:r>
                </w:p>
              </w:tc>
            </w:tr>
            <w:tr>
              <w:tblPrEx>
                <w:tblCellMar>
                  <w:top w:w="0" w:type="dxa"/>
                  <w:left w:w="0" w:type="dxa"/>
                  <w:bottom w:w="0" w:type="dxa"/>
                  <w:right w:w="115" w:type="dxa"/>
                </w:tblCellMar>
              </w:tblPrEx>
              <w:trPr>
                <w:trHeight w:val="324" w:hRule="atLeast"/>
                <w:jc w:val="center"/>
              </w:trPr>
              <w:tc>
                <w:tcPr>
                  <w:tcW w:w="2079"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ⅣB期</w:t>
                  </w: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4b</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任何</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3"/>
                    <w:jc w:val="center"/>
                    <w:rPr>
                      <w:rFonts w:hint="eastAsia" w:ascii="黑体" w:hAnsi="黑体" w:eastAsia="黑体" w:cs="黑体"/>
                      <w:sz w:val="22"/>
                      <w:szCs w:val="22"/>
                    </w:rPr>
                  </w:pPr>
                  <w:r>
                    <w:rPr>
                      <w:rFonts w:hint="eastAsia" w:ascii="黑体" w:hAnsi="黑体" w:eastAsia="黑体" w:cs="黑体"/>
                      <w:sz w:val="22"/>
                      <w:szCs w:val="22"/>
                    </w:rPr>
                    <w:t>0</w:t>
                  </w:r>
                </w:p>
              </w:tc>
            </w:tr>
            <w:tr>
              <w:tblPrEx>
                <w:tblCellMar>
                  <w:top w:w="0" w:type="dxa"/>
                  <w:left w:w="0" w:type="dxa"/>
                  <w:bottom w:w="0" w:type="dxa"/>
                  <w:right w:w="115" w:type="dxa"/>
                </w:tblCellMar>
              </w:tblPrEx>
              <w:trPr>
                <w:trHeight w:val="324" w:hRule="atLeast"/>
                <w:jc w:val="center"/>
              </w:trPr>
              <w:tc>
                <w:tcPr>
                  <w:tcW w:w="2079"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ⅣC期</w:t>
                  </w: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任何</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任何</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3"/>
                    <w:jc w:val="center"/>
                    <w:rPr>
                      <w:rFonts w:hint="eastAsia" w:ascii="黑体" w:hAnsi="黑体" w:eastAsia="黑体" w:cs="黑体"/>
                      <w:sz w:val="22"/>
                      <w:szCs w:val="22"/>
                    </w:rPr>
                  </w:pPr>
                  <w:r>
                    <w:rPr>
                      <w:rFonts w:hint="eastAsia" w:ascii="黑体" w:hAnsi="黑体" w:eastAsia="黑体" w:cs="黑体"/>
                      <w:sz w:val="22"/>
                      <w:szCs w:val="22"/>
                    </w:rPr>
                    <w:t>1</w:t>
                  </w:r>
                </w:p>
              </w:tc>
            </w:tr>
            <w:tr>
              <w:tblPrEx>
                <w:tblCellMar>
                  <w:top w:w="0" w:type="dxa"/>
                  <w:left w:w="0" w:type="dxa"/>
                  <w:bottom w:w="0" w:type="dxa"/>
                  <w:right w:w="115" w:type="dxa"/>
                </w:tblCellMar>
              </w:tblPrEx>
              <w:trPr>
                <w:trHeight w:val="168" w:hRule="atLeast"/>
                <w:jc w:val="center"/>
              </w:trPr>
              <w:tc>
                <w:tcPr>
                  <w:tcW w:w="3135" w:type="dxa"/>
                  <w:gridSpan w:val="2"/>
                  <w:tcBorders>
                    <w:top w:val="single" w:color="000000" w:sz="4" w:space="0"/>
                    <w:left w:val="single" w:color="000000" w:sz="4" w:space="0"/>
                    <w:bottom w:val="single" w:color="000000" w:sz="4" w:space="0"/>
                    <w:right w:val="nil"/>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未分化癌（所有年龄组）</w:t>
                  </w:r>
                </w:p>
              </w:tc>
              <w:tc>
                <w:tcPr>
                  <w:tcW w:w="825" w:type="dxa"/>
                  <w:tcBorders>
                    <w:top w:val="single" w:color="000000" w:sz="4" w:space="0"/>
                    <w:left w:val="nil"/>
                    <w:bottom w:val="single" w:color="000000" w:sz="4" w:space="0"/>
                    <w:right w:val="nil"/>
                  </w:tcBorders>
                </w:tcPr>
                <w:p>
                  <w:pPr>
                    <w:spacing w:after="160" w:line="259" w:lineRule="auto"/>
                    <w:jc w:val="center"/>
                    <w:rPr>
                      <w:rFonts w:hint="eastAsia" w:ascii="黑体" w:hAnsi="黑体" w:eastAsia="黑体" w:cs="黑体"/>
                      <w:sz w:val="22"/>
                      <w:szCs w:val="22"/>
                    </w:rPr>
                  </w:pPr>
                </w:p>
              </w:tc>
              <w:tc>
                <w:tcPr>
                  <w:tcW w:w="513" w:type="dxa"/>
                  <w:tcBorders>
                    <w:top w:val="single" w:color="000000" w:sz="4" w:space="0"/>
                    <w:left w:val="nil"/>
                    <w:bottom w:val="single" w:color="000000" w:sz="4" w:space="0"/>
                    <w:right w:val="single" w:color="000000" w:sz="4" w:space="0"/>
                  </w:tcBorders>
                </w:tcPr>
                <w:p>
                  <w:pPr>
                    <w:spacing w:after="160" w:line="259" w:lineRule="auto"/>
                    <w:jc w:val="center"/>
                    <w:rPr>
                      <w:rFonts w:hint="eastAsia" w:ascii="黑体" w:hAnsi="黑体" w:eastAsia="黑体" w:cs="黑体"/>
                      <w:sz w:val="22"/>
                      <w:szCs w:val="22"/>
                    </w:rPr>
                  </w:pPr>
                </w:p>
              </w:tc>
            </w:tr>
            <w:tr>
              <w:tblPrEx>
                <w:tblCellMar>
                  <w:top w:w="0" w:type="dxa"/>
                  <w:left w:w="0" w:type="dxa"/>
                  <w:bottom w:w="0" w:type="dxa"/>
                  <w:right w:w="115" w:type="dxa"/>
                </w:tblCellMar>
              </w:tblPrEx>
              <w:trPr>
                <w:trHeight w:val="324" w:hRule="atLeast"/>
                <w:jc w:val="center"/>
              </w:trPr>
              <w:tc>
                <w:tcPr>
                  <w:tcW w:w="2079"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ⅣA期</w:t>
                  </w: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1～3a</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0/x</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3"/>
                    <w:jc w:val="center"/>
                    <w:rPr>
                      <w:rFonts w:hint="eastAsia" w:ascii="黑体" w:hAnsi="黑体" w:eastAsia="黑体" w:cs="黑体"/>
                      <w:sz w:val="22"/>
                      <w:szCs w:val="22"/>
                    </w:rPr>
                  </w:pPr>
                  <w:r>
                    <w:rPr>
                      <w:rFonts w:hint="eastAsia" w:ascii="黑体" w:hAnsi="黑体" w:eastAsia="黑体" w:cs="黑体"/>
                      <w:sz w:val="22"/>
                      <w:szCs w:val="22"/>
                    </w:rPr>
                    <w:t>0</w:t>
                  </w:r>
                </w:p>
              </w:tc>
            </w:tr>
            <w:tr>
              <w:tblPrEx>
                <w:tblCellMar>
                  <w:top w:w="0" w:type="dxa"/>
                  <w:left w:w="0" w:type="dxa"/>
                  <w:bottom w:w="0" w:type="dxa"/>
                  <w:right w:w="115" w:type="dxa"/>
                </w:tblCellMar>
              </w:tblPrEx>
              <w:trPr>
                <w:trHeight w:val="324" w:hRule="atLeast"/>
                <w:jc w:val="center"/>
              </w:trPr>
              <w:tc>
                <w:tcPr>
                  <w:tcW w:w="2079" w:type="dxa"/>
                  <w:vMerge w:val="restart"/>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ⅣB期</w:t>
                  </w: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1～3a</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1</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3"/>
                    <w:jc w:val="center"/>
                    <w:rPr>
                      <w:rFonts w:hint="eastAsia" w:ascii="黑体" w:hAnsi="黑体" w:eastAsia="黑体" w:cs="黑体"/>
                      <w:sz w:val="22"/>
                      <w:szCs w:val="22"/>
                    </w:rPr>
                  </w:pPr>
                  <w:r>
                    <w:rPr>
                      <w:rFonts w:hint="eastAsia" w:ascii="黑体" w:hAnsi="黑体" w:eastAsia="黑体" w:cs="黑体"/>
                      <w:sz w:val="22"/>
                      <w:szCs w:val="22"/>
                    </w:rPr>
                    <w:t>0</w:t>
                  </w:r>
                </w:p>
              </w:tc>
            </w:tr>
            <w:tr>
              <w:tblPrEx>
                <w:tblCellMar>
                  <w:top w:w="0" w:type="dxa"/>
                  <w:left w:w="0" w:type="dxa"/>
                  <w:bottom w:w="0" w:type="dxa"/>
                  <w:right w:w="115" w:type="dxa"/>
                </w:tblCellMar>
              </w:tblPrEx>
              <w:trPr>
                <w:trHeight w:val="322" w:hRule="atLeast"/>
                <w:jc w:val="center"/>
              </w:trPr>
              <w:tc>
                <w:tcPr>
                  <w:tcW w:w="2079" w:type="dxa"/>
                  <w:vMerge w:val="continue"/>
                  <w:tcBorders>
                    <w:top w:val="nil"/>
                    <w:left w:val="single" w:color="000000" w:sz="4" w:space="0"/>
                    <w:bottom w:val="single" w:color="000000" w:sz="4" w:space="0"/>
                    <w:right w:val="single" w:color="000000" w:sz="4" w:space="0"/>
                  </w:tcBorders>
                </w:tcPr>
                <w:p>
                  <w:pPr>
                    <w:spacing w:after="160" w:line="259" w:lineRule="auto"/>
                    <w:jc w:val="center"/>
                    <w:rPr>
                      <w:rFonts w:hint="eastAsia" w:ascii="黑体" w:hAnsi="黑体" w:eastAsia="黑体" w:cs="黑体"/>
                      <w:sz w:val="22"/>
                      <w:szCs w:val="22"/>
                    </w:rPr>
                  </w:pP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3b～4</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任何</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3"/>
                    <w:jc w:val="center"/>
                    <w:rPr>
                      <w:rFonts w:hint="eastAsia" w:ascii="黑体" w:hAnsi="黑体" w:eastAsia="黑体" w:cs="黑体"/>
                      <w:sz w:val="22"/>
                      <w:szCs w:val="22"/>
                    </w:rPr>
                  </w:pPr>
                  <w:r>
                    <w:rPr>
                      <w:rFonts w:hint="eastAsia" w:ascii="黑体" w:hAnsi="黑体" w:eastAsia="黑体" w:cs="黑体"/>
                      <w:sz w:val="22"/>
                      <w:szCs w:val="22"/>
                    </w:rPr>
                    <w:t>0</w:t>
                  </w:r>
                </w:p>
              </w:tc>
            </w:tr>
            <w:tr>
              <w:tblPrEx>
                <w:tblCellMar>
                  <w:top w:w="0" w:type="dxa"/>
                  <w:left w:w="0" w:type="dxa"/>
                  <w:bottom w:w="0" w:type="dxa"/>
                  <w:right w:w="115" w:type="dxa"/>
                </w:tblCellMar>
              </w:tblPrEx>
              <w:trPr>
                <w:trHeight w:val="324" w:hRule="atLeast"/>
                <w:jc w:val="center"/>
              </w:trPr>
              <w:tc>
                <w:tcPr>
                  <w:tcW w:w="2079"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ⅣC期</w:t>
                  </w:r>
                </w:p>
              </w:tc>
              <w:tc>
                <w:tcPr>
                  <w:tcW w:w="1056"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任何</w:t>
                  </w:r>
                </w:p>
              </w:tc>
              <w:tc>
                <w:tcPr>
                  <w:tcW w:w="825"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eastAsia" w:ascii="黑体" w:hAnsi="黑体" w:eastAsia="黑体" w:cs="黑体"/>
                      <w:sz w:val="22"/>
                      <w:szCs w:val="22"/>
                    </w:rPr>
                  </w:pPr>
                  <w:r>
                    <w:rPr>
                      <w:rFonts w:hint="eastAsia" w:ascii="黑体" w:hAnsi="黑体" w:eastAsia="黑体" w:cs="黑体"/>
                      <w:sz w:val="22"/>
                      <w:szCs w:val="22"/>
                    </w:rPr>
                    <w:t>任何</w:t>
                  </w:r>
                </w:p>
              </w:tc>
              <w:tc>
                <w:tcPr>
                  <w:tcW w:w="513" w:type="dxa"/>
                  <w:tcBorders>
                    <w:top w:val="single" w:color="000000" w:sz="4" w:space="0"/>
                    <w:left w:val="single" w:color="000000" w:sz="4" w:space="0"/>
                    <w:bottom w:val="single" w:color="000000" w:sz="4" w:space="0"/>
                    <w:right w:val="single" w:color="000000" w:sz="4" w:space="0"/>
                  </w:tcBorders>
                </w:tcPr>
                <w:p>
                  <w:pPr>
                    <w:spacing w:line="259" w:lineRule="auto"/>
                    <w:ind w:left="3"/>
                    <w:jc w:val="center"/>
                    <w:rPr>
                      <w:rFonts w:hint="eastAsia" w:ascii="黑体" w:hAnsi="黑体" w:eastAsia="黑体" w:cs="黑体"/>
                      <w:sz w:val="22"/>
                      <w:szCs w:val="22"/>
                    </w:rPr>
                  </w:pPr>
                  <w:r>
                    <w:rPr>
                      <w:rFonts w:hint="eastAsia" w:ascii="黑体" w:hAnsi="黑体" w:eastAsia="黑体" w:cs="黑体"/>
                      <w:sz w:val="22"/>
                      <w:szCs w:val="22"/>
                    </w:rPr>
                    <w:t>1</w:t>
                  </w:r>
                </w:p>
              </w:tc>
            </w:tr>
          </w:tbl>
          <w:p>
            <w:pPr>
              <w:widowControl/>
              <w:jc w:val="left"/>
              <w:rPr>
                <w:rFonts w:hint="eastAsia" w:ascii="黑体" w:hAnsi="黑体" w:eastAsia="黑体" w:cs="黑体"/>
                <w:b/>
                <w:sz w:val="22"/>
                <w:szCs w:val="22"/>
              </w:rPr>
            </w:pPr>
            <w:r>
              <w:rPr>
                <w:rFonts w:hint="eastAsia" w:ascii="黑体" w:hAnsi="黑体" w:eastAsia="黑体" w:cs="黑体"/>
                <w:sz w:val="22"/>
                <w:szCs w:val="22"/>
              </w:rPr>
              <w:t xml:space="preserve">      注：以上表格中“年龄”指患者病理组织标本获取日期时的年龄。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 较重急性心肌梗死</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急性心肌梗死指由于冠状动脉闭塞或梗阻引起部分心肌严重的持久性缺血造成急性心肌坏死。急性心肌梗死的诊断必须依据国际国内诊断标准，符合（1）检测到肌酸激酶同工酶（CK-MB）或肌钙蛋白（cTn）升高和/或降低的动态变化，至少一次达到或超过心肌梗死的临床诊断标准；（2）同时存在下列之一的证据，包括：缺血性胸痛症状、新发生的缺血性心电图改变、新生成的病理性Q波、影像学证据显示有新出现的心肌活性丧失或新出现局部室壁运动异常、冠脉造影证实存在冠状动脉血栓。</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较重急性心肌梗死指依照上述标准被明确诊断为急性心肌梗死，并且必须同时满足下列至少一项条件：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1.心肌损伤标志物肌钙蛋白（cTn）升高，至少一次检测结果达到该检验正常参考值上限的15 倍（含）以上；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2.肌酸激酶同工酶（CK-MB）升高，至少一次检测结果达到该检验正常参考值上限的2倍（含）以上；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3.出现左心室收缩功能下降，在确诊6周以后，检测左室射血分数（LVEF）低于 50%（不含）；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4.影像学检查证实存在新发的乳头肌功能失调或断裂引起的中度（含）以上的二尖瓣反流；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5.影像学检查证实存在新出现的室壁瘤； 6.出现室性心动过速、心室颤动或心源性休克。 </w:t>
            </w:r>
          </w:p>
          <w:p>
            <w:pPr>
              <w:widowControl/>
              <w:jc w:val="left"/>
              <w:rPr>
                <w:rFonts w:hint="eastAsia" w:ascii="黑体" w:hAnsi="黑体" w:eastAsia="黑体" w:cs="黑体"/>
                <w:b/>
                <w:sz w:val="22"/>
                <w:szCs w:val="22"/>
              </w:rPr>
            </w:pPr>
            <w:r>
              <w:rPr>
                <w:rFonts w:hint="eastAsia" w:ascii="黑体" w:hAnsi="黑体" w:eastAsia="黑体" w:cs="黑体"/>
                <w:sz w:val="22"/>
                <w:szCs w:val="22"/>
              </w:rPr>
              <w:t>其他非冠状动脉阻塞性疾病所引起的肌钙蛋白（cTn）升高不在保障范围内。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3 严重脑中风后遗症</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指因脑血管的突发病变引起脑血管出血、栓塞或梗塞，须由头颅断层扫描（CT）、核磁共振检查（MRI）等影像学检查证实，并导致神经系统永久性的功能障碍。 神经系统永久性的功能障碍，指疾病确诊 180 天后，仍遗留下列至少一种障碍：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一肢（含）以上肢体肌力2 级（含）以下；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语言能力完全丧失，或严重咀嚼吞咽功能障碍； </w:t>
            </w:r>
          </w:p>
          <w:p>
            <w:pPr>
              <w:widowControl/>
              <w:jc w:val="left"/>
              <w:rPr>
                <w:rFonts w:hint="eastAsia" w:ascii="黑体" w:hAnsi="黑体" w:eastAsia="黑体" w:cs="黑体"/>
                <w:b/>
                <w:sz w:val="22"/>
                <w:szCs w:val="22"/>
              </w:rPr>
            </w:pPr>
            <w:r>
              <w:rPr>
                <w:rFonts w:hint="eastAsia" w:ascii="黑体" w:hAnsi="黑体" w:eastAsia="黑体" w:cs="黑体"/>
                <w:sz w:val="22"/>
                <w:szCs w:val="22"/>
              </w:rPr>
              <w:t>3. 自主生活能力完全丧失，无法独立完成六项基本日常生活活动中的三项或三项以上。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4 重大器官移植术或造血干细胞移植术</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重大器官移植术，指因相应器官功能衰竭，已经实施了肾脏、肝脏、心脏、肺脏或小肠的异体移植手术。 </w:t>
            </w:r>
          </w:p>
          <w:p>
            <w:pPr>
              <w:widowControl/>
              <w:jc w:val="left"/>
              <w:rPr>
                <w:rFonts w:hint="eastAsia" w:ascii="黑体" w:hAnsi="黑体" w:eastAsia="黑体" w:cs="黑体"/>
                <w:b/>
                <w:sz w:val="22"/>
                <w:szCs w:val="22"/>
              </w:rPr>
            </w:pPr>
            <w:r>
              <w:rPr>
                <w:rFonts w:hint="eastAsia" w:ascii="黑体" w:hAnsi="黑体" w:eastAsia="黑体" w:cs="黑体"/>
                <w:sz w:val="22"/>
                <w:szCs w:val="22"/>
              </w:rPr>
              <w:t>造血干细胞移植术，指因造血功能损害或造血系统恶性肿瘤，已经实施了造血干细胞（包括骨髓造血干细胞、外周血造血干细胞和脐血造血干细胞）的移植手术。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5 冠状动脉搭桥术（或称冠状动脉旁路移植术）</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指为治疗严重的冠心病，已经实施了切开心包进行的冠状动脉血管旁路移植的手术。所有未切开心包的冠状动脉介入治疗不在保障范围内。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6严重慢性肾衰竭</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指双肾功能慢性不可逆性衰竭，依据肾脏病预后质量倡议（K/DOQI）制定的指南，分期达到慢性肾脏病5期，且经诊断后已经进行了至少 90 天的规律性透析治疗。规律性透析是指每周进行血液透析或每天进行腹膜透析。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7多个肢体缺失</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指因疾病或意外伤害导致两个或两个以上肢体自腕关节或踝关节近端（靠近躯干端）以上完全性断离。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8 急性重症肝炎或亚急性重症肝炎</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指因肝炎病毒感染引起肝脏组织弥漫性坏死，导致急性肝功能衰竭，且经血清学或病毒学检查证实，并须满足下列全部条件：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重度黄疸或黄疸迅速加重；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肝性脑病；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B 超或其他影像学检查显示肝脏体积急速萎缩； </w:t>
            </w:r>
          </w:p>
          <w:p>
            <w:pPr>
              <w:widowControl/>
              <w:jc w:val="left"/>
              <w:rPr>
                <w:rFonts w:hint="eastAsia" w:ascii="黑体" w:hAnsi="黑体" w:eastAsia="黑体" w:cs="黑体"/>
                <w:b/>
                <w:sz w:val="22"/>
                <w:szCs w:val="22"/>
              </w:rPr>
            </w:pPr>
            <w:r>
              <w:rPr>
                <w:rFonts w:hint="eastAsia" w:ascii="黑体" w:hAnsi="黑体" w:eastAsia="黑体" w:cs="黑体"/>
                <w:sz w:val="22"/>
                <w:szCs w:val="22"/>
              </w:rPr>
              <w:t>4. 肝功能指标进行性恶化。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9 严重非恶性颅内肿瘤</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指起源于脑、脑神经、脑被膜的非恶性肿瘤，ICD-0-3 肿瘤形态学编码属于 0（良性肿瘤）、1（动态未定性肿瘤）范畴，并已经引起颅内压升高或神经系统功能损害，出现视乳头水肿或视觉受损、听觉受损、面部或肢体瘫痪、癫痫等，须由头颅断层扫描（CT）、核磁共振检查（MRI）或正电子发射断层扫描（PET）等影像学检查证实，且须满足下列至少一项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已经实施了开颅进行的颅内肿瘤完全切除或部分切除的手术；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已经实施了针对颅内肿瘤的放射治疗，如γ刀、质子重离子治疗等。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下列疾病不在保障范围内：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脑垂体瘤；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2.脑囊肿； </w:t>
            </w:r>
          </w:p>
          <w:p>
            <w:pPr>
              <w:widowControl/>
              <w:jc w:val="left"/>
              <w:rPr>
                <w:rFonts w:hint="eastAsia" w:ascii="黑体" w:hAnsi="黑体" w:eastAsia="黑体" w:cs="黑体"/>
                <w:b/>
                <w:sz w:val="22"/>
                <w:szCs w:val="22"/>
              </w:rPr>
            </w:pPr>
            <w:r>
              <w:rPr>
                <w:rFonts w:hint="eastAsia" w:ascii="黑体" w:hAnsi="黑体" w:eastAsia="黑体" w:cs="黑体"/>
                <w:sz w:val="22"/>
                <w:szCs w:val="22"/>
              </w:rPr>
              <w:t>3.颅内血管性疾病（如脑动脉瘤、脑动静脉畸形、海绵状血管瘤、毛细血管扩张症等）。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10 严重慢性肝衰竭</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指因慢性肝脏疾病导致的肝衰竭。须满足下列全部条件：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持续性黄疸；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腹水；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肝性脑病； </w:t>
            </w:r>
          </w:p>
          <w:p>
            <w:pPr>
              <w:widowControl/>
              <w:jc w:val="left"/>
              <w:rPr>
                <w:rFonts w:hint="eastAsia" w:ascii="黑体" w:hAnsi="黑体" w:eastAsia="黑体" w:cs="黑体"/>
                <w:b/>
                <w:sz w:val="22"/>
                <w:szCs w:val="22"/>
              </w:rPr>
            </w:pPr>
            <w:r>
              <w:rPr>
                <w:rFonts w:hint="eastAsia" w:ascii="黑体" w:hAnsi="黑体" w:eastAsia="黑体" w:cs="黑体"/>
                <w:sz w:val="22"/>
                <w:szCs w:val="22"/>
              </w:rPr>
              <w:t>4. 充血性脾肿大伴脾功能亢进或食管胃底静脉曲张。因酗酒或药物滥用导致的肝衰竭不在保障范围内。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11 严重脑炎后遗症或严重脑膜炎后遗症</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指因患脑炎或脑膜炎导致的神经系统永久性的功能障碍。神经系统永久性的功能障碍，指经相关专科医生确诊疾病 180 天后，仍遗留下列至少一种障碍：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一肢（含）以上肢体肌力 2 级（含）以下；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语言能力完全丧失，或严重咀嚼吞咽功能障碍；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由具有评估资格的专科医生根据临床痴呆评定量表（CDR，Clinical Dementia Rating）评估结果为 3 分； </w:t>
            </w:r>
          </w:p>
          <w:p>
            <w:pPr>
              <w:widowControl/>
              <w:jc w:val="left"/>
              <w:rPr>
                <w:rFonts w:hint="eastAsia" w:ascii="黑体" w:hAnsi="黑体" w:eastAsia="黑体" w:cs="黑体"/>
                <w:b/>
                <w:sz w:val="22"/>
                <w:szCs w:val="22"/>
              </w:rPr>
            </w:pPr>
            <w:r>
              <w:rPr>
                <w:rFonts w:hint="eastAsia" w:ascii="黑体" w:hAnsi="黑体" w:eastAsia="黑体" w:cs="黑体"/>
                <w:sz w:val="22"/>
                <w:szCs w:val="22"/>
              </w:rPr>
              <w:t>4. 自主生活能力完全丧失，无法独立完成六项基本日常生活活动中的三项或三项以上。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12 深度昏迷</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指因疾病或意外伤害导致意识丧失,对外界刺激和体内需求均无反应,昏迷程度按照格拉斯哥昏迷分级（GCS，Glasgow Coma Scale）结果为 5 分或 5 分以下，且已经持续使用呼吸机及其他生命维持系统 96 小时以上。 </w:t>
            </w:r>
          </w:p>
          <w:p>
            <w:pPr>
              <w:widowControl/>
              <w:jc w:val="left"/>
              <w:rPr>
                <w:rFonts w:hint="eastAsia" w:ascii="黑体" w:hAnsi="黑体" w:eastAsia="黑体" w:cs="黑体"/>
                <w:b/>
                <w:sz w:val="22"/>
                <w:szCs w:val="22"/>
              </w:rPr>
            </w:pPr>
            <w:r>
              <w:rPr>
                <w:rFonts w:hint="eastAsia" w:ascii="黑体" w:hAnsi="黑体" w:eastAsia="黑体" w:cs="黑体"/>
                <w:sz w:val="22"/>
                <w:szCs w:val="22"/>
              </w:rPr>
              <w:t>因酗酒或药物滥用导致的深度昏迷不在保障范围内。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13 双耳失聪</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指因疾病或意外伤害导致双耳听力永久不可逆性丧失，在 500 赫兹、1000 赫兹和 2000 赫兹语音频率下，平均听阈大于等于 91 分贝，且经纯音听力测试、声导抗检测或听觉诱发电位检测等证实。</w:t>
            </w:r>
          </w:p>
        </w:tc>
      </w:tr>
      <w:tr>
        <w:tblPrEx>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14 双目失明</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指因疾病或意外伤害导致双眼视力永久不可逆性丧失，双眼中较好眼须满足下列至少一项条件：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眼球缺失或摘除；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矫正视力低于 0.02（采用国际标准视力表，如果使用其他视力表应进行换算）； </w:t>
            </w:r>
          </w:p>
          <w:p>
            <w:pPr>
              <w:widowControl/>
              <w:jc w:val="left"/>
              <w:rPr>
                <w:rFonts w:hint="eastAsia" w:ascii="黑体" w:hAnsi="黑体" w:eastAsia="黑体" w:cs="黑体"/>
                <w:b/>
                <w:sz w:val="22"/>
                <w:szCs w:val="22"/>
              </w:rPr>
            </w:pPr>
            <w:r>
              <w:rPr>
                <w:rFonts w:hint="eastAsia" w:ascii="黑体" w:hAnsi="黑体" w:eastAsia="黑体" w:cs="黑体"/>
                <w:sz w:val="22"/>
                <w:szCs w:val="22"/>
              </w:rPr>
              <w:t>3. 视野半径小于5度。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15 瘫痪</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指因疾病或意外伤害导致两肢或两肢以上肢体随意运动功能永久完全丧失。 </w:t>
            </w:r>
          </w:p>
          <w:p>
            <w:pPr>
              <w:widowControl/>
              <w:jc w:val="left"/>
              <w:rPr>
                <w:rFonts w:hint="eastAsia" w:ascii="黑体" w:hAnsi="黑体" w:eastAsia="黑体" w:cs="黑体"/>
                <w:b/>
                <w:sz w:val="22"/>
                <w:szCs w:val="22"/>
              </w:rPr>
            </w:pPr>
            <w:r>
              <w:rPr>
                <w:rFonts w:hint="eastAsia" w:ascii="黑体" w:hAnsi="黑体" w:eastAsia="黑体" w:cs="黑体"/>
                <w:sz w:val="22"/>
                <w:szCs w:val="22"/>
              </w:rPr>
              <w:t>肢体随意运动功能永久完全丧失，指疾病确诊180天后或意外伤害发生180天后，每肢三大关节中的两大关节仍然完全僵硬，或肢体肌力在 2 级（含）以下。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16 心脏瓣膜手术</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指为治疗心脏瓣膜疾病，已经实施了切开心脏进行的心脏瓣膜置换或修复的手术。 所有未切开心脏的心脏瓣膜介入手术不在保障范围内。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17 严重阿尔茨海默病</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大脑进行性、不可逆性改变导致智能严重衰退或丧失，临床表现为严重的认知功能障碍、精神行为异常和社交能力减退等，其日常生活必须持续受到他人监护。须由头颅断层扫描（CT）、核磁共振检查（MRI）或正电子发射断层扫描（PET）等影像学检查证实，并经相关专科医生确诊，且须满足下列至少一项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由具有评估资格的专科医生根据临床痴呆评定量表（CDR，Clinical Dementia Rating）评 估结果为 3 分； </w:t>
            </w:r>
          </w:p>
          <w:p>
            <w:pPr>
              <w:widowControl/>
              <w:jc w:val="left"/>
              <w:rPr>
                <w:rFonts w:hint="eastAsia" w:ascii="黑体" w:hAnsi="黑体" w:eastAsia="黑体" w:cs="黑体"/>
                <w:b/>
                <w:sz w:val="22"/>
                <w:szCs w:val="22"/>
              </w:rPr>
            </w:pPr>
            <w:r>
              <w:rPr>
                <w:rFonts w:hint="eastAsia" w:ascii="黑体" w:hAnsi="黑体" w:eastAsia="黑体" w:cs="黑体"/>
                <w:sz w:val="22"/>
                <w:szCs w:val="22"/>
              </w:rPr>
              <w:t>2. 自主生活能力完全丧失，无法独立完成六项基本日常生活活动中的三项或三项以上。 阿尔茨海默病之外的其他类型痴呆不在保障范围内。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18 严重脑损伤</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头部遭受机械性外力，引起脑重要部位损伤，导致神经系统永久性的功能障碍。须由头颅断层扫描（CT）、核磁共振检查（MRI）或正电子发射断层扫描（PET）等影像学检查证实。神经系统永久性的功能障碍，指脑损伤 180 天后，仍遗留下列至少一种障碍：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一肢（含）以上肢体肌力 2 级（含）以下；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语言能力完全丧失，或严重咀嚼吞咽功能障碍； </w:t>
            </w:r>
          </w:p>
          <w:p>
            <w:pPr>
              <w:widowControl/>
              <w:jc w:val="left"/>
              <w:rPr>
                <w:rFonts w:hint="eastAsia" w:ascii="黑体" w:hAnsi="黑体" w:eastAsia="黑体" w:cs="黑体"/>
                <w:b/>
                <w:sz w:val="22"/>
                <w:szCs w:val="22"/>
              </w:rPr>
            </w:pPr>
            <w:r>
              <w:rPr>
                <w:rFonts w:hint="eastAsia" w:ascii="黑体" w:hAnsi="黑体" w:eastAsia="黑体" w:cs="黑体"/>
                <w:sz w:val="22"/>
                <w:szCs w:val="22"/>
              </w:rPr>
              <w:t>3. 自主生活能力完全丧失，无法独立完成六项基本日常生活活动中的三项或三项以上。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19 严重原发性帕金森病</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是一种中枢神经系统的退行性疾病，临床表现为运动迟缓、静止性震颤或肌强直等，经相关专科医生确诊，且须满足自主生活能力完全丧失，无法独立完成六项基本日常生活活动中的三项或三项以上。 </w:t>
            </w:r>
          </w:p>
          <w:p>
            <w:pPr>
              <w:widowControl/>
              <w:jc w:val="left"/>
              <w:rPr>
                <w:rFonts w:hint="eastAsia" w:ascii="黑体" w:hAnsi="黑体" w:eastAsia="黑体" w:cs="黑体"/>
                <w:b/>
                <w:sz w:val="22"/>
                <w:szCs w:val="22"/>
              </w:rPr>
            </w:pPr>
            <w:r>
              <w:rPr>
                <w:rFonts w:hint="eastAsia" w:ascii="黑体" w:hAnsi="黑体" w:eastAsia="黑体" w:cs="黑体"/>
                <w:sz w:val="22"/>
                <w:szCs w:val="22"/>
              </w:rPr>
              <w:t>继发性帕金森综合征、帕金森叠加综合征不在保障范围内。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20 严重Ⅲ度烧伤</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指烧伤程度为Ⅲ度，且Ⅲ度烧伤的面积达到全身体表面积的 20%或 20%以上。体表面积根 据《中国新九分法》计算。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21 严重特发性肺动脉高压</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指不明原因的肺动脉压力持续性增高，进行性发展而导致的慢性疾病，已经造成永久不可逆性的体力活动能力受限，达到美国纽约心脏病学会（New York Heart Association，NYHA）心功能状态分级IV 级，且静息状态下肺动脉平均压在36mmHg（含）以上。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22 严重运动神经元病</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是一组中枢神经系统运动神经元的进行性变性疾病，包括进行性脊肌萎缩症、进行性延髓麻痹症、原发性侧索硬化症、肌萎缩性侧索硬化症，经相关专科医生确诊，且须满足下列至少一项条件：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严重咀嚼吞咽功能障碍；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呼吸肌麻痹导致严重呼吸困难，且已经持续使用呼吸机 7 天（含）以上； </w:t>
            </w:r>
          </w:p>
          <w:p>
            <w:pPr>
              <w:widowControl/>
              <w:jc w:val="left"/>
              <w:rPr>
                <w:rFonts w:hint="eastAsia" w:ascii="黑体" w:hAnsi="黑体" w:eastAsia="黑体" w:cs="黑体"/>
                <w:b/>
                <w:sz w:val="22"/>
                <w:szCs w:val="22"/>
              </w:rPr>
            </w:pPr>
            <w:r>
              <w:rPr>
                <w:rFonts w:hint="eastAsia" w:ascii="黑体" w:hAnsi="黑体" w:eastAsia="黑体" w:cs="黑体"/>
                <w:sz w:val="22"/>
                <w:szCs w:val="22"/>
              </w:rPr>
              <w:t>3. 自主生活能力完全丧失，无法独立完成六项基本日常生活活动中的三项或三项以上。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23 语言能力丧失</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指因疾病或意外伤害导致语言能力完全丧失，经过积极治疗至少 12 个月（声带完全切除不受此时间限制），仍无法通过现有医疗手段恢复。 </w:t>
            </w:r>
          </w:p>
          <w:p>
            <w:pPr>
              <w:widowControl/>
              <w:jc w:val="left"/>
              <w:rPr>
                <w:rFonts w:hint="eastAsia" w:ascii="黑体" w:hAnsi="黑体" w:eastAsia="黑体" w:cs="黑体"/>
                <w:b/>
                <w:sz w:val="22"/>
                <w:szCs w:val="22"/>
              </w:rPr>
            </w:pPr>
            <w:r>
              <w:rPr>
                <w:rFonts w:hint="eastAsia" w:ascii="黑体" w:hAnsi="黑体" w:eastAsia="黑体" w:cs="黑体"/>
                <w:sz w:val="22"/>
                <w:szCs w:val="22"/>
              </w:rPr>
              <w:t>精神心理因素所致的语言能力丧失不在保障范围内。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24 重型再生障碍性贫血</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指因骨髓造血功能慢性持续性衰竭导致的贫血、中性粒细胞减少及血小板减少，且须满足下列全部条件： </w:t>
            </w:r>
          </w:p>
          <w:p>
            <w:pPr>
              <w:widowControl/>
              <w:jc w:val="left"/>
              <w:rPr>
                <w:rFonts w:hint="eastAsia" w:ascii="黑体" w:hAnsi="黑体" w:eastAsia="黑体" w:cs="黑体"/>
                <w:sz w:val="22"/>
                <w:szCs w:val="22"/>
              </w:rPr>
            </w:pPr>
            <w:r>
              <w:rPr>
                <w:rFonts w:hint="eastAsia" w:ascii="黑体" w:hAnsi="黑体" w:eastAsia="黑体" w:cs="黑体"/>
                <w:sz w:val="22"/>
                <w:szCs w:val="22"/>
              </w:rPr>
              <w:t>1. 骨髓穿刺检查或骨髓活检结果支持诊断：骨髓细胞增生程度&lt;50%，则残存的造血细胞应&lt;30%；</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外周血象须具备以下三项条件中的两项： </w:t>
            </w:r>
          </w:p>
          <w:p>
            <w:pPr>
              <w:widowControl/>
              <w:jc w:val="left"/>
              <w:rPr>
                <w:rFonts w:hint="eastAsia" w:ascii="黑体" w:hAnsi="黑体" w:eastAsia="黑体" w:cs="黑体"/>
                <w:sz w:val="22"/>
                <w:szCs w:val="22"/>
              </w:rPr>
            </w:pPr>
            <w:r>
              <w:rPr>
                <w:rFonts w:hint="eastAsia" w:ascii="黑体" w:hAnsi="黑体" w:eastAsia="黑体" w:cs="黑体"/>
                <w:sz w:val="22"/>
                <w:szCs w:val="22"/>
              </w:rPr>
              <w:t>（1）中性粒细胞绝对值&lt;0.5×109/L；</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（2）网织红细胞计数&lt;20×109 /L； </w:t>
            </w:r>
          </w:p>
          <w:p>
            <w:pPr>
              <w:widowControl/>
              <w:jc w:val="left"/>
              <w:rPr>
                <w:rFonts w:hint="eastAsia" w:ascii="黑体" w:hAnsi="黑体" w:eastAsia="黑体" w:cs="黑体"/>
                <w:b/>
                <w:sz w:val="22"/>
                <w:szCs w:val="22"/>
              </w:rPr>
            </w:pPr>
            <w:r>
              <w:rPr>
                <w:rFonts w:hint="eastAsia" w:ascii="黑体" w:hAnsi="黑体" w:eastAsia="黑体" w:cs="黑体"/>
                <w:sz w:val="22"/>
                <w:szCs w:val="22"/>
              </w:rPr>
              <w:t>（3）血小板绝对值&lt;20×109/L。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25 主动脉手术</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指为治疗主动脉疾病或主动脉创伤，已经实施了开胸（含胸腔镜下）或开腹（含腹腔镜 下）进行的切除、置换、修补病损主动脉血管、主动脉创伤后修复的手术。主动脉指升主动脉、主动脉弓和降主动脉（含胸主动脉和腹主动脉），不包括升主动脉、主动脉弓和降主动脉的分支血管。 </w:t>
            </w:r>
          </w:p>
          <w:p>
            <w:pPr>
              <w:widowControl/>
              <w:jc w:val="left"/>
              <w:rPr>
                <w:rFonts w:hint="eastAsia" w:ascii="黑体" w:hAnsi="黑体" w:eastAsia="黑体" w:cs="黑体"/>
                <w:b/>
                <w:sz w:val="22"/>
                <w:szCs w:val="22"/>
              </w:rPr>
            </w:pPr>
            <w:r>
              <w:rPr>
                <w:rFonts w:hint="eastAsia" w:ascii="黑体" w:hAnsi="黑体" w:eastAsia="黑体" w:cs="黑体"/>
                <w:sz w:val="22"/>
                <w:szCs w:val="22"/>
              </w:rPr>
              <w:t>所有未实施开胸或开腹的动脉内介入治疗不在保障范围内。</w:t>
            </w:r>
          </w:p>
        </w:tc>
      </w:tr>
      <w:tr>
        <w:tblPrEx>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26 严重慢性呼吸衰竭</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指因慢性呼吸系统疾病导致永久不可逆性的呼吸衰竭，经过积极治疗180天后满足以下所有条件：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静息时出现呼吸困难；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肺功能第一秒用力呼气容积（FEV1）占预计值的百分比＜30%； </w:t>
            </w:r>
          </w:p>
          <w:p>
            <w:pPr>
              <w:widowControl/>
              <w:jc w:val="left"/>
              <w:rPr>
                <w:rFonts w:hint="eastAsia" w:ascii="黑体" w:hAnsi="黑体" w:eastAsia="黑体" w:cs="黑体"/>
                <w:b/>
                <w:sz w:val="22"/>
                <w:szCs w:val="22"/>
              </w:rPr>
            </w:pPr>
            <w:r>
              <w:rPr>
                <w:rFonts w:hint="eastAsia" w:ascii="黑体" w:hAnsi="黑体" w:eastAsia="黑体" w:cs="黑体"/>
                <w:sz w:val="22"/>
                <w:szCs w:val="22"/>
              </w:rPr>
              <w:t>3. 在静息状态、呼吸空气条件下，动脉血氧分压（PaO2）＜50mmHg。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27 严重克罗恩病</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指一种慢性肉芽肿性肠炎，具有特征性的克罗恩病（Crohn病）病理组织学变化，须根据组织病理学特点诊断，且已经造成瘘管形成并伴有肠梗阻或肠穿孔。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28 严重溃疡性结肠炎</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指伴有致命性电解质紊乱的急性暴发性溃疡性结肠炎，病变已经累及全结肠，表现为严重的血便和系统性症状体征，须根据组织病理学特点诊断，且已经实施了结肠切除或回肠造瘘术。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29 侵蚀性葡萄胎（或称恶性葡萄胎）</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该类疾病是指异常增生的绒毛组织浸润性生长浸入子宫肌层或转移至其他器官或组织的葡萄胎，并已经进行化疗或手术治疗的。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30 原发性骨髓纤维化</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原发性骨髓纤维化为原因不明的骨髓中成纤维细胞增殖，伴有髓外造血，表现为进行性贫血、脾肿大等症状。本疾病须根据骨髓的活组织检查和周围血象检查由相关专科医生明确诊断，并至少符合下列条件中的三项，且符合条件的状态持续180天及以上，并已经实际实施了针对此症的治疗：</w:t>
            </w:r>
          </w:p>
          <w:p>
            <w:pPr>
              <w:widowControl/>
              <w:jc w:val="left"/>
              <w:rPr>
                <w:rFonts w:hint="eastAsia" w:ascii="黑体" w:hAnsi="黑体" w:eastAsia="黑体" w:cs="黑体"/>
                <w:sz w:val="22"/>
                <w:szCs w:val="22"/>
              </w:rPr>
            </w:pPr>
            <w:r>
              <w:rPr>
                <w:rFonts w:hint="eastAsia" w:ascii="黑体" w:hAnsi="黑体" w:eastAsia="黑体" w:cs="黑体"/>
                <w:sz w:val="22"/>
                <w:szCs w:val="22"/>
              </w:rPr>
              <w:t>1.血红蛋白&lt;100g/L；</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2.白细胞计数&gt;25*10^9 /L；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3.外周血原始细胞≥1%； </w:t>
            </w:r>
          </w:p>
          <w:p>
            <w:pPr>
              <w:widowControl/>
              <w:jc w:val="left"/>
              <w:rPr>
                <w:rFonts w:hint="eastAsia" w:ascii="黑体" w:hAnsi="黑体" w:eastAsia="黑体" w:cs="黑体"/>
                <w:b/>
                <w:sz w:val="22"/>
                <w:szCs w:val="22"/>
              </w:rPr>
            </w:pPr>
            <w:r>
              <w:rPr>
                <w:rFonts w:hint="eastAsia" w:ascii="黑体" w:hAnsi="黑体" w:eastAsia="黑体" w:cs="黑体"/>
                <w:sz w:val="22"/>
                <w:szCs w:val="22"/>
              </w:rPr>
              <w:t>4.血小板计数&lt;100*10^9 /L。任何其它病因导致的继发性骨髓纤维化不在保障范围内。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31 严重心肌炎</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指心肌局限性或弥漫性的急性或慢性炎症病变，导致心脏功能障碍，达到美国纽约心脏病学会心功能状态分级IV级，且需持续至少90天。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32 肺源性心脏病</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指由于各种胸肺及支气管病变而继发的肺动脉高压，最后导致以右室肥大为特征的心脏病。须经相关专科医生确诊，且必须同时满足如下诊断标准：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左心房压力增高（不低于 20 个单位）；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肺血管阻力高于正常值 3 个单位（Pulmonary Resistance）；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肺动脉血压不低于 40 毫米汞柱；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4. 肺动脉楔压不低于 6 毫米汞柱；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5. 右心室心脏舒张期末压力不低于 8 毫米汞柱； </w:t>
            </w:r>
          </w:p>
          <w:p>
            <w:pPr>
              <w:widowControl/>
              <w:jc w:val="left"/>
              <w:rPr>
                <w:rFonts w:hint="eastAsia" w:ascii="黑体" w:hAnsi="黑体" w:eastAsia="黑体" w:cs="黑体"/>
                <w:b/>
                <w:sz w:val="22"/>
                <w:szCs w:val="22"/>
              </w:rPr>
            </w:pPr>
            <w:r>
              <w:rPr>
                <w:rFonts w:hint="eastAsia" w:ascii="黑体" w:hAnsi="黑体" w:eastAsia="黑体" w:cs="黑体"/>
                <w:sz w:val="22"/>
                <w:szCs w:val="22"/>
              </w:rPr>
              <w:t>6. 右心室过度肥大、扩张，出现右心衰竭和呼吸困难。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33 感染性心内膜炎</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指因细菌、真菌和其他微生物（如病毒、立克次体、衣原体、螺旋体等）直接感染而产生心瓣膜或心室壁内膜的炎症，须经相关专科医生确诊，并符合以下所有条件：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血液培养测试结果为阳性，并至少符合以下条件之一：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（1）微生物：在赘生物，栓塞的赘生物或心脏内脓肿培养或组织检查证实有微生物； （2）病理性病灶：组织检查证实赘生物或心脏内脓肿有活动性心内膜炎；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（3）分别两次血液培养证实有典型的微生物且与心内膜炎符合； </w:t>
            </w:r>
          </w:p>
          <w:p>
            <w:pPr>
              <w:widowControl/>
              <w:jc w:val="left"/>
              <w:rPr>
                <w:rFonts w:hint="eastAsia" w:ascii="黑体" w:hAnsi="黑体" w:eastAsia="黑体" w:cs="黑体"/>
                <w:sz w:val="22"/>
                <w:szCs w:val="22"/>
              </w:rPr>
            </w:pPr>
            <w:r>
              <w:rPr>
                <w:rFonts w:hint="eastAsia" w:ascii="黑体" w:hAnsi="黑体" w:eastAsia="黑体" w:cs="黑体"/>
                <w:sz w:val="22"/>
                <w:szCs w:val="22"/>
              </w:rPr>
              <w:t>（4）持续血液培养证实有微生物阳性反应，且与心内膜炎符合。</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心内膜炎引起中度心瓣膜关闭不全（指返流指数 20%或以上）或中度心瓣膜狭窄（指心 瓣膜开口范围小于或等于正常的 30%）； </w:t>
            </w:r>
          </w:p>
          <w:p>
            <w:pPr>
              <w:widowControl/>
              <w:jc w:val="left"/>
              <w:rPr>
                <w:rFonts w:hint="eastAsia" w:ascii="黑体" w:hAnsi="黑体" w:eastAsia="黑体" w:cs="黑体"/>
                <w:b/>
                <w:sz w:val="22"/>
                <w:szCs w:val="22"/>
              </w:rPr>
            </w:pPr>
            <w:r>
              <w:rPr>
                <w:rFonts w:hint="eastAsia" w:ascii="黑体" w:hAnsi="黑体" w:eastAsia="黑体" w:cs="黑体"/>
                <w:sz w:val="22"/>
                <w:szCs w:val="22"/>
              </w:rPr>
              <w:t>3. 心内膜炎及心瓣膜损毁程度需经由相关专科医生确诊。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34 严重慢性缩窄 性心包炎</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由于慢性心包炎症导致心包脏层和壁层广泛瘢痕粘连、增厚和钙化，心包腔闭塞，形成一个纤维瘢痕外壳，使心脏和大血管根部受压，阻碍心脏的舒张。被保险人被明确诊断为慢性缩窄性心包炎且必须满足以下所有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心功能衰竭达到美国纽约心脏病学会心功能状态分级 IV 级，并持续 180 天以上； 2. 实际接受了以下任何一种手术路径的心包剥脱或心包切除手术；手术路径：胸骨正中切 口；双侧前胸切口；左前胸肋间切口。 </w:t>
            </w:r>
          </w:p>
          <w:p>
            <w:pPr>
              <w:widowControl/>
              <w:jc w:val="left"/>
              <w:rPr>
                <w:rFonts w:hint="eastAsia" w:ascii="黑体" w:hAnsi="黑体" w:eastAsia="黑体" w:cs="黑体"/>
                <w:b/>
                <w:sz w:val="22"/>
                <w:szCs w:val="22"/>
              </w:rPr>
            </w:pPr>
            <w:r>
              <w:rPr>
                <w:rFonts w:hint="eastAsia" w:ascii="黑体" w:hAnsi="黑体" w:eastAsia="黑体" w:cs="黑体"/>
                <w:sz w:val="22"/>
                <w:szCs w:val="22"/>
              </w:rPr>
              <w:t>经胸腔镜、胸壁打孔进行的手术、心包粘连松解手术不在保障范围内。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35 心脏粘液瘤</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为了治疗心脏粘液瘤，实际实施了开胸开心心脏粘液瘤切除手术。经导管介入手术治疗不在保障范围内。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36 艾森门格综合 征</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因心脏病导致的严重肺动脉高压及右向左分流。诊断必须由相关专科医生经超声心动图和 心导管检查证实及需符合以下所有标准：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平均肺动脉压高于40mmHg；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肺血管阻力高于3mm/L/min（Wood 单位）； </w:t>
            </w:r>
          </w:p>
          <w:p>
            <w:pPr>
              <w:widowControl/>
              <w:jc w:val="left"/>
              <w:rPr>
                <w:rFonts w:hint="eastAsia" w:ascii="黑体" w:hAnsi="黑体" w:eastAsia="黑体" w:cs="黑体"/>
                <w:b/>
                <w:sz w:val="22"/>
                <w:szCs w:val="22"/>
              </w:rPr>
            </w:pPr>
            <w:r>
              <w:rPr>
                <w:rFonts w:hint="eastAsia" w:ascii="黑体" w:hAnsi="黑体" w:eastAsia="黑体" w:cs="黑体"/>
                <w:sz w:val="22"/>
                <w:szCs w:val="22"/>
              </w:rPr>
              <w:t>3. 正常肺微血管楔压低于15mmHg；本公司承担本项疾病责任不受本合同责任免除中“遗传性疾病，先天性畸形、变形或染色 体异常”的限制。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37Brugada综合征</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由相关专科医生根据临床症状和典型心电图表现明确诊断,并且经相关专科医生判断认为必须安装且实际已安装了永久性心脏除颤器。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38 头臂动脉型多 发性大动脉炎旁路移植手术</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头臂动脉型多发性大动脉炎旁路移植手术：多发性大动脉炎（高安氏动脉炎）是一种发生在主动脉和其主要分支的慢性炎症性动脉疾病，表现为受累动脉狭窄或闭塞。头臂动脉型多发性大动脉炎是指多发性大动脉炎头臂动脉型（I 型），又称为无脉症。被保险人被明确诊断为头臂动脉型多发性大动脉炎并且实际接受了经胸部切开进行的无名动脉（头臂干）、颈总动脉、锁骨下动脉旁路移植手术。 </w:t>
            </w:r>
          </w:p>
          <w:p>
            <w:pPr>
              <w:widowControl/>
              <w:jc w:val="left"/>
              <w:rPr>
                <w:rFonts w:hint="eastAsia" w:ascii="黑体" w:hAnsi="黑体" w:eastAsia="黑体" w:cs="黑体"/>
                <w:b/>
                <w:sz w:val="22"/>
                <w:szCs w:val="22"/>
              </w:rPr>
            </w:pPr>
            <w:r>
              <w:rPr>
                <w:rFonts w:hint="eastAsia" w:ascii="黑体" w:hAnsi="黑体" w:eastAsia="黑体" w:cs="黑体"/>
                <w:sz w:val="22"/>
                <w:szCs w:val="22"/>
              </w:rPr>
              <w:t>非开胸的血管旁路移植手术、因其他病因而进行的旁路移植手术，对其他动脉进行的旁路移植手术，经皮经导管进行的血管内手术不在本保障范围内。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39 严重心肌病</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不明原因引起的一类心肌病变，包括原发性扩张型心肌病、原发性肥厚型心肌病及原发性限制型心肌病三种，病变必须已造成事实上心室功能障碍而出现明显的心功能衰竭（美国纽约心脏病学会心功能状态分级Ⅳ级），且有相关住院医疗记录显示Ⅳ级心功能衰竭状态持续至少一百八十天。 </w:t>
            </w:r>
          </w:p>
          <w:p>
            <w:pPr>
              <w:widowControl/>
              <w:jc w:val="left"/>
              <w:rPr>
                <w:rFonts w:hint="eastAsia" w:ascii="黑体" w:hAnsi="黑体" w:eastAsia="黑体" w:cs="黑体"/>
                <w:b/>
                <w:sz w:val="22"/>
                <w:szCs w:val="22"/>
              </w:rPr>
            </w:pPr>
            <w:r>
              <w:rPr>
                <w:rFonts w:hint="eastAsia" w:ascii="黑体" w:hAnsi="黑体" w:eastAsia="黑体" w:cs="黑体"/>
                <w:sz w:val="22"/>
                <w:szCs w:val="22"/>
              </w:rPr>
              <w:t>本病须经相关专科医生明确诊断。继发于全身性疾病或其它器官系统疾病造成的心肌病变除外。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40 严重川崎病</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是一种血管炎综合征，临床表现为急性发热，皮肤粘膜病损和淋巴结肿大。本病须经相关专科医生明确诊断，同时须由血管造影或超声心动图检查证实，满足下列至少一项条件：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伴有冠状动脉瘤，且冠状动脉瘤于最初急性发病后持续至少 180 天； </w:t>
            </w:r>
          </w:p>
          <w:p>
            <w:pPr>
              <w:widowControl/>
              <w:jc w:val="left"/>
              <w:rPr>
                <w:rFonts w:hint="eastAsia" w:ascii="黑体" w:hAnsi="黑体" w:eastAsia="黑体" w:cs="黑体"/>
                <w:b/>
                <w:sz w:val="22"/>
                <w:szCs w:val="22"/>
              </w:rPr>
            </w:pPr>
            <w:r>
              <w:rPr>
                <w:rFonts w:hint="eastAsia" w:ascii="黑体" w:hAnsi="黑体" w:eastAsia="黑体" w:cs="黑体"/>
                <w:sz w:val="22"/>
                <w:szCs w:val="22"/>
              </w:rPr>
              <w:t>2. 伴有冠状动脉瘤，且实际接受了对冠状动脉瘤进行的手术治疗。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41 严重冠状动脉 粥样硬化性心 脏病</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指经冠状动脉造影检查明确诊断为主要血管严重狭窄性病变，须满足下列至少一项条件：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左冠状动脉主干和右冠状动脉中，一支血管管腔堵塞 75%以上，另一支血管管腔堵塞60%以上；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左前降支、左旋支和右冠状动脉中，至少一支血管管腔堵塞 75%以上，其他两支血管管腔堵塞60%以上。 </w:t>
            </w:r>
          </w:p>
          <w:p>
            <w:pPr>
              <w:widowControl/>
              <w:jc w:val="left"/>
              <w:rPr>
                <w:rFonts w:hint="eastAsia" w:ascii="黑体" w:hAnsi="黑体" w:eastAsia="黑体" w:cs="黑体"/>
                <w:b/>
                <w:sz w:val="22"/>
                <w:szCs w:val="22"/>
              </w:rPr>
            </w:pPr>
            <w:r>
              <w:rPr>
                <w:rFonts w:hint="eastAsia" w:ascii="黑体" w:hAnsi="黑体" w:eastAsia="黑体" w:cs="黑体"/>
                <w:sz w:val="22"/>
                <w:szCs w:val="22"/>
              </w:rPr>
              <w:t>左前降支的分支血管、左旋支的分支血管及右冠状动脉的分支血管的狭窄不作为本保障的衡量指标。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42 严重继发性肺 动脉高压</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继发性肺动脉压力持续增高，导致右心室肥厚，已经造成永久不可逆性的体力活动能力受 限，达到美国纽约心脏病学会心功能状态分级 IV 级。诊断需要由相关专科医生确诊，并且 心导管检查报告显示静息状态下肺动脉平均压超过 36mmHg（含）。 </w:t>
            </w:r>
          </w:p>
          <w:p>
            <w:pPr>
              <w:widowControl/>
              <w:jc w:val="left"/>
              <w:rPr>
                <w:rFonts w:hint="eastAsia" w:ascii="黑体" w:hAnsi="黑体" w:eastAsia="黑体" w:cs="黑体"/>
                <w:b/>
                <w:sz w:val="22"/>
                <w:szCs w:val="22"/>
              </w:rPr>
            </w:pPr>
            <w:r>
              <w:rPr>
                <w:rFonts w:hint="eastAsia" w:ascii="黑体" w:hAnsi="黑体" w:eastAsia="黑体" w:cs="黑体"/>
                <w:sz w:val="22"/>
                <w:szCs w:val="22"/>
              </w:rPr>
              <w:t>所有先天性心脏疾病直接或间接引起的肺动脉高压也不在保障范围内。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 xml:space="preserve">43 主动脉夹层瘤 </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指主动脉的内膜破裂导致血液流入主动脉壁中形成夹层动脉瘤。在本定义中，主动脉指胸 主动脉及腹主动脉而非其旁支。诊断必须由相关专科医生及检验结果证实，检验包括电脑 扫描，磁共振扫描及磁共振血管造影或心导管检查的证明，并有必要进行紧急修补手术。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44 嗜铬细胞瘤</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是指肾上腺或嗜铬外组织出现神经内分泌肿瘤，并分泌过多的儿茶酚胺类，需要确实进行 手术以切除肿瘤。嗜铬细胞瘤的诊断必须由相关专科医生确定。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45 严重肌营养不 良症</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指一组原发于肌肉的遗传性疾病，临床表现为与神经系统无关的肌肉无力和肌肉萎缩。须 满足下列全部条件： 1. 肌肉组织活检结果满足肌营养不良症的肌肉细胞变性、坏死等阳性改变； 2. 自主生活能力严重丧失，无法独立完成六项基本日常生活活动中的三项或三项以上。 本公司承担本项疾病责任不受本合同责任免除中“遗传性疾病，先天性畸形、变形或染色 体异常”的限制。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46 Ⅲ度房室传导 阻滞</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指心房激动在房室交界区、房室束及其分支内发生阻滞，不能正常地传到心室的心脏传导 性疾病，须满足下列所有条件：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心电图显示房室搏动彼此独立，心室率&lt;50 次/分钟；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出现阿-斯综合征或心力衰竭的表现； </w:t>
            </w:r>
          </w:p>
          <w:p>
            <w:pPr>
              <w:widowControl/>
              <w:jc w:val="left"/>
              <w:rPr>
                <w:rFonts w:hint="eastAsia" w:ascii="黑体" w:hAnsi="黑体" w:eastAsia="黑体" w:cs="黑体"/>
                <w:b/>
                <w:sz w:val="22"/>
                <w:szCs w:val="22"/>
              </w:rPr>
            </w:pPr>
            <w:r>
              <w:rPr>
                <w:rFonts w:hint="eastAsia" w:ascii="黑体" w:hAnsi="黑体" w:eastAsia="黑体" w:cs="黑体"/>
                <w:sz w:val="22"/>
                <w:szCs w:val="22"/>
              </w:rPr>
              <w:t>3. 必须持续性依赖心脏起搏器维持心脏正常功能，且已经放置心脏起搏器。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47 严重 I 型糖尿 病</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严重Ⅰ型糖尿病为由于胰岛素分泌绝对不足引起的慢性血糖升高，且已经持续性地依赖外 源性胰岛素维持 180 日以上。须经血胰岛素测定、血 C 肽测定或尿 C 肽测定，结果异常， 并由相关专科医生明确诊断。并须在本合同有效期内，满足下述至少一个条件：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已出现增殖性视网膜病变；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须植入心脏起搏器治疗心脏病； </w:t>
            </w:r>
          </w:p>
          <w:p>
            <w:pPr>
              <w:widowControl/>
              <w:jc w:val="left"/>
              <w:rPr>
                <w:rFonts w:hint="eastAsia" w:ascii="黑体" w:hAnsi="黑体" w:eastAsia="黑体" w:cs="黑体"/>
                <w:b/>
                <w:sz w:val="22"/>
                <w:szCs w:val="22"/>
              </w:rPr>
            </w:pPr>
            <w:r>
              <w:rPr>
                <w:rFonts w:hint="eastAsia" w:ascii="黑体" w:hAnsi="黑体" w:eastAsia="黑体" w:cs="黑体"/>
                <w:sz w:val="22"/>
                <w:szCs w:val="22"/>
              </w:rPr>
              <w:t>3. 在本公司认可医院内已经进行了医疗必须的由足踝或以上位置的单足截除手术。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48 克雅氏病</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神经系统疾病及致命的成胶质状脑病，并有以下症状：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不能控制的肌肉痉挛及震颤；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逐渐痴呆；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小脑功能不良，共济失调； </w:t>
            </w:r>
          </w:p>
          <w:p>
            <w:pPr>
              <w:widowControl/>
              <w:jc w:val="left"/>
              <w:rPr>
                <w:rFonts w:hint="eastAsia" w:ascii="黑体" w:hAnsi="黑体" w:eastAsia="黑体" w:cs="黑体"/>
                <w:b/>
                <w:sz w:val="22"/>
                <w:szCs w:val="22"/>
              </w:rPr>
            </w:pPr>
            <w:r>
              <w:rPr>
                <w:rFonts w:hint="eastAsia" w:ascii="黑体" w:hAnsi="黑体" w:eastAsia="黑体" w:cs="黑体"/>
                <w:sz w:val="22"/>
                <w:szCs w:val="22"/>
              </w:rPr>
              <w:t>4. 手足徐动症。 诊断必须由相关专科医生基于以下检查报告作出：脑电图、脑脊液报告、电脑断层扫描 (CT)及核磁共振(MRI)。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49 多发性硬化</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被保险人因脑及脊髓内的脱髓鞘病变而出现神经系统多灶性（多发性）多时相（至少 6 个 月以内有一次以上（不包含一次）的发作）的病变，须由计算机断层扫描（CT）、核磁共 振检查（MRI）或正电子发射断层扫描（PET）等影像学检查证实，且已经造成自主生活 能力完全丧失，无法独立完成六项基本日常生活活动中的三项或三项以上，持续至少 180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50 全身性（型） 重症肌无力</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是指一种神经与肌肉接头部位传递障碍的自身免疫性疾病，临床特征是局部或全身横纹肌 于活动时易于疲劳无力，颅神经眼外肌最易累及，也可涉及呼吸肌、下肢近端肌群以至全 身肌肉，须经相关专科医生确诊。其诊断必须同时具有下列情况：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经药物、胸腺手术治疗一年以上无法控制病情，丧失正常工作能力；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出现眼睑下垂，或延髓肌受累引起的构音困难、进食呛咳,或由于肌无力累及延髓肌、呼 吸肌而致机体呼吸功能不正常的危急状态即肌无力危象； </w:t>
            </w:r>
          </w:p>
          <w:p>
            <w:pPr>
              <w:widowControl/>
              <w:jc w:val="left"/>
              <w:rPr>
                <w:rFonts w:hint="eastAsia" w:ascii="黑体" w:hAnsi="黑体" w:eastAsia="黑体" w:cs="黑体"/>
                <w:b/>
                <w:sz w:val="22"/>
                <w:szCs w:val="22"/>
              </w:rPr>
            </w:pPr>
            <w:r>
              <w:rPr>
                <w:rFonts w:hint="eastAsia" w:ascii="黑体" w:hAnsi="黑体" w:eastAsia="黑体" w:cs="黑体"/>
                <w:sz w:val="22"/>
                <w:szCs w:val="22"/>
              </w:rPr>
              <w:t>3. 症状缓解、复发及恶化交替出现，临床接受新斯的明等抗胆碱酯酶药物治疗的病史。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51 植物人状态</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指脑皮质广泛性坏死而导致对自身及周边的认知能力完全丧失,但脑干功能依然存在。必须 由相关专科医生明确诊断,并有头颅断层扫描（CT），核磁共振检查（MRI）或正电子发 射断层扫描（PET）等影像学检查证实。 </w:t>
            </w:r>
          </w:p>
          <w:p>
            <w:pPr>
              <w:widowControl/>
              <w:jc w:val="left"/>
              <w:rPr>
                <w:rFonts w:hint="eastAsia" w:ascii="黑体" w:hAnsi="黑体" w:eastAsia="黑体" w:cs="黑体"/>
                <w:b/>
                <w:sz w:val="22"/>
                <w:szCs w:val="22"/>
              </w:rPr>
            </w:pPr>
            <w:r>
              <w:rPr>
                <w:rFonts w:hint="eastAsia" w:ascii="黑体" w:hAnsi="黑体" w:eastAsia="黑体" w:cs="黑体"/>
                <w:sz w:val="22"/>
                <w:szCs w:val="22"/>
              </w:rPr>
              <w:t>上述情况必须有至少一个月的病历记录加以证实。由于酗酒或滥用药物所致的植物人状态 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52 非阿尔茨海默 病所致严重痴呆</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指因阿尔茨海默病以外的脑的器质性疾病造成脑功能衰竭导致永久不可逆性的严重痴呆， 临床表现为明显的认知能力障碍、行为异常和社交能力减退。被保险人自主生活能力完全 丧失，无法独立完成六项基本日常生活活动中的三项或三项以上，日常生活必须持续受到 他人监护。导致痴呆的疾病必须明确诊断，并且由完整的临床、实验室和影像学检查结果 证实。神经官能症和精神疾病不在保障范围内。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53 进行性核上性 麻痹</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一种隐袭起病、逐渐加重的神经系统变性疾病。本疾病必须由相关专科医生确诊，并须满 足下列所有条件：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步态共济失调；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对称性眼球垂直运动障碍； </w:t>
            </w:r>
          </w:p>
          <w:p>
            <w:pPr>
              <w:widowControl/>
              <w:jc w:val="left"/>
              <w:rPr>
                <w:rFonts w:hint="eastAsia" w:ascii="黑体" w:hAnsi="黑体" w:eastAsia="黑体" w:cs="黑体"/>
                <w:sz w:val="22"/>
                <w:szCs w:val="22"/>
              </w:rPr>
            </w:pPr>
            <w:r>
              <w:rPr>
                <w:rFonts w:hint="eastAsia" w:ascii="黑体" w:hAnsi="黑体" w:eastAsia="黑体" w:cs="黑体"/>
                <w:sz w:val="22"/>
                <w:szCs w:val="22"/>
              </w:rPr>
              <w:t>3. 假性球麻痹，表现为构音障碍和吞咽困难。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54 进行性多灶性 白质脑病</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是一种亚急性脱髓鞘性脑病，常常发现于免疫缺陷的病人。必须由相关专科医生根据脑组 织活检确诊。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55 脊髓小脑变性 症</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脊髓小脑变性症为一组以小脑萎缩和共济失调为主要临床特点的疾病。必须符合所有以下 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脊髓小脑变性症必须由医院诊断，并有以下证据支持：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（1）影像学检查证实存在小脑萎缩；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（2）临床表现存在共济失调、语言障碍和肌张力异常。 </w:t>
            </w:r>
          </w:p>
          <w:p>
            <w:pPr>
              <w:widowControl/>
              <w:jc w:val="left"/>
              <w:rPr>
                <w:rFonts w:hint="eastAsia" w:ascii="黑体" w:hAnsi="黑体" w:eastAsia="黑体" w:cs="黑体"/>
                <w:b/>
                <w:sz w:val="22"/>
                <w:szCs w:val="22"/>
              </w:rPr>
            </w:pPr>
            <w:r>
              <w:rPr>
                <w:rFonts w:hint="eastAsia" w:ascii="黑体" w:hAnsi="黑体" w:eastAsia="黑体" w:cs="黑体"/>
                <w:sz w:val="22"/>
                <w:szCs w:val="22"/>
              </w:rPr>
              <w:t>2. 被保险人运动功能严重障碍，自主生活能力完全丧失，无法独立完成六项基本日常生活 活动中的三项或三项以上。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56 颅脑手术</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被保险人确已实施全麻下的开颅手术（不包括颅骨钻孔手术和经鼻蝶窦入颅手术）。 因外伤而实施的脑外科手术不在保障范围之内。 理赔时必须提供由相关专科医生出具的诊断书及手术报告。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57 脑型疟疾</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恶性疟原虫严重感染导致的脑病或脑型疟疾，以昏迷为主要特征。脑型疟疾的诊断须由相 关专科医生确认，且外周血涂片存在恶性疟原虫。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58 破裂脑动脉瘤 夹闭手术</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指因脑动脉瘤破裂造成蛛网膜下腔出血，被保险人实际接受了在全麻下进行的开颅动脉夹 闭手术。 </w:t>
            </w:r>
          </w:p>
          <w:p>
            <w:pPr>
              <w:widowControl/>
              <w:jc w:val="left"/>
              <w:rPr>
                <w:rFonts w:hint="eastAsia" w:ascii="黑体" w:hAnsi="黑体" w:eastAsia="黑体" w:cs="黑体"/>
                <w:b/>
                <w:sz w:val="22"/>
                <w:szCs w:val="22"/>
              </w:rPr>
            </w:pPr>
            <w:r>
              <w:rPr>
                <w:rFonts w:hint="eastAsia" w:ascii="黑体" w:hAnsi="黑体" w:eastAsia="黑体" w:cs="黑体"/>
                <w:sz w:val="22"/>
                <w:szCs w:val="22"/>
              </w:rPr>
              <w:t>脑动脉瘤（未破裂）预防性手术、颅骨打孔手术、动脉瘤栓塞手术、血管内手术及其他颅 脑手术不在本保障范围内。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59 婴儿进行性脊 肌萎缩症</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该病是累及脊髓前角细胞及延髓运动核的神经元退行性变性病。在出生后两年内出现的脊 髓和脑干颅神经前角细胞进行性机能障碍，伴随肌肉无力和延髓机能障碍。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本公司承担本项疾病责任不受本合同责任免除中“遗传性疾病，先天性畸形、变形或染色 体异常”的限制。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60 细菌性脑脊髓 膜炎</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指因脑膜炎双球菌感染引起脑脊髓膜化脓性病变，且导致永久性神经损害，持续 180 天以 上，并且脑脊液检查显示脑膜炎双球菌阳性。 </w:t>
            </w:r>
          </w:p>
          <w:p>
            <w:pPr>
              <w:widowControl/>
              <w:jc w:val="left"/>
              <w:rPr>
                <w:rFonts w:hint="eastAsia" w:ascii="黑体" w:hAnsi="黑体" w:eastAsia="黑体" w:cs="黑体"/>
                <w:b/>
                <w:sz w:val="22"/>
                <w:szCs w:val="22"/>
              </w:rPr>
            </w:pPr>
            <w:r>
              <w:rPr>
                <w:rFonts w:hint="eastAsia" w:ascii="黑体" w:hAnsi="黑体" w:eastAsia="黑体" w:cs="黑体"/>
                <w:sz w:val="22"/>
                <w:szCs w:val="22"/>
              </w:rPr>
              <w:t>永久性神经损害是指由细菌性脑脊髓膜炎引起的耳聋、失明、动眼神经麻痹、瘫痪、脑积 水、智力或性情中度以上的损害，且上述症状持续 180 天以上仍无改善迹象。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61 脊柱裂</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指脊椎或颅骨不完全闭合，导致脊髓脊膜突出，脑（脊）膜突出或脑膨出，合并大小便失 禁，部分或完全性下肢瘫痪或畸形等神经学上的异常，但不包括由 X 线摄片发现的没有合 并脊椎脊膜突出或脑（脊）膜突出的隐形脊椎裂。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本公司承担本项疾病责任不受本合同责任免除中“遗传性疾病，先天性畸形、变形或染色 体异常”的限制。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62 严重结核性脑 膜炎</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由结核杆菌引起的脑膜和脊膜的非化脓性炎症性疾病。需满足以下全部条件：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出现颅内压明显增高，表现头痛、呕吐和视乳头水肿；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出现部分性、全身性癫痫发作或癫痫持续状态；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昏睡或意识模糊； </w:t>
            </w:r>
          </w:p>
          <w:p>
            <w:pPr>
              <w:widowControl/>
              <w:jc w:val="left"/>
              <w:rPr>
                <w:rFonts w:hint="eastAsia" w:ascii="黑体" w:hAnsi="黑体" w:eastAsia="黑体" w:cs="黑体"/>
                <w:b/>
                <w:sz w:val="22"/>
                <w:szCs w:val="22"/>
              </w:rPr>
            </w:pPr>
            <w:r>
              <w:rPr>
                <w:rFonts w:hint="eastAsia" w:ascii="黑体" w:hAnsi="黑体" w:eastAsia="黑体" w:cs="黑体"/>
                <w:sz w:val="22"/>
                <w:szCs w:val="22"/>
              </w:rPr>
              <w:t>4. 视力减退、复视和面神经麻痹。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63 亚历山大病</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是一种遗传性中枢神经系统退行性病变，特点为脑白质营养不良。临床表现为惊厥发作、 智力下降、球麻痹、共济失调、痉挛性瘫痪。亚历山大病必须被相关专科医生明确诊断， 并且造成永久性神经系统功能损害。被保险人自主生活能力完全丧失，无法独立完成六项 基本日常生活活动中的三项或三项以上，日常生活必须持续接受他人护理。未诊断的疑似 病例不在保障范围之内。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本公司承担本项疾病责任不受本合同责任免除中“遗传性疾病，先天性畸形、变形或染色 体异常”的限制。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64 库鲁病</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指一种亚急性传染性朊蛋白病。临床表现为共济失调、震颤、不自主运动，在病程晚期出 现进行性加重的痴呆，神经异常。该病必须由权威医疗机构根据致病蛋白的发现而明确诊 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65 疾病或外伤所 致智力障碍— </w:t>
            </w:r>
          </w:p>
          <w:p>
            <w:pPr>
              <w:widowControl/>
              <w:jc w:val="left"/>
              <w:rPr>
                <w:rFonts w:hint="eastAsia" w:ascii="黑体" w:hAnsi="黑体" w:eastAsia="黑体" w:cs="黑体"/>
                <w:b/>
                <w:sz w:val="22"/>
                <w:szCs w:val="22"/>
              </w:rPr>
            </w:pPr>
            <w:r>
              <w:rPr>
                <w:rFonts w:hint="eastAsia" w:ascii="黑体" w:hAnsi="黑体" w:eastAsia="黑体" w:cs="黑体"/>
                <w:sz w:val="22"/>
                <w:szCs w:val="22"/>
              </w:rPr>
              <w:t>6 周岁始理赔</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因严重头部创伤或疾病造成被保险人智力低常（智力低于常态）。根据智商（IQ），智力 低常分为中度（IQ35-50）、重度（IQ20-35）和极重度（IQ&lt;20）。智商的检测必须由我们 认可的专职心理测验工作者进行，心理测验工作者必须持有心理测量专业委员会资格认定 书。根据被保险人年龄采用对应的智力量表如韦克斯勒智力量表（儿童智力量表或成人智 力量表）。必须满足下列全部条件：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造成被保险人智力低常（智力低于常态）的严重头部创伤或疾病（以入院日期为准）发 生在被保险人 6 周岁以后；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专科医师确诊被保险人由于严重头部创伤或疾病造成智力低常；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专职合格心理检测工作者适时做的心理检测证实被保险人智力低常（中度、重度或极重 度）； </w:t>
            </w:r>
          </w:p>
          <w:p>
            <w:pPr>
              <w:widowControl/>
              <w:jc w:val="left"/>
              <w:rPr>
                <w:rFonts w:hint="eastAsia" w:ascii="黑体" w:hAnsi="黑体" w:eastAsia="黑体" w:cs="黑体"/>
                <w:b/>
                <w:sz w:val="22"/>
                <w:szCs w:val="22"/>
              </w:rPr>
            </w:pPr>
            <w:r>
              <w:rPr>
                <w:rFonts w:hint="eastAsia" w:ascii="黑体" w:hAnsi="黑体" w:eastAsia="黑体" w:cs="黑体"/>
                <w:sz w:val="22"/>
                <w:szCs w:val="22"/>
              </w:rPr>
              <w:t>4. 被保险人的智力低常自确认日起持续 180 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66 瑞氏综合征</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瑞氏综合征是线粒体功能障碍性疾病。导致脂肪代谢障碍，引起短链脂肪酸、血氨升高， 造成脑水肿。主要临床表现为急性发热、反复呕吐、惊厥及意识障碍等。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肝脏活检是确诊的重要手段。瑞氏综合征需由相关专科医生确诊，并符合下列所有条件：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有脑水肿和颅内压升高的脑脊液检查和影像学检查证据；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血氨超过正常值的 3 倍； </w:t>
            </w:r>
          </w:p>
          <w:p>
            <w:pPr>
              <w:widowControl/>
              <w:jc w:val="left"/>
              <w:rPr>
                <w:rFonts w:hint="eastAsia" w:ascii="黑体" w:hAnsi="黑体" w:eastAsia="黑体" w:cs="黑体"/>
                <w:b/>
                <w:sz w:val="22"/>
                <w:szCs w:val="22"/>
              </w:rPr>
            </w:pPr>
            <w:r>
              <w:rPr>
                <w:rFonts w:hint="eastAsia" w:ascii="黑体" w:hAnsi="黑体" w:eastAsia="黑体" w:cs="黑体"/>
                <w:sz w:val="22"/>
                <w:szCs w:val="22"/>
              </w:rPr>
              <w:t>3. 临床出现昏迷，病程至少达到疾病分期第 3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67 重症手足口病</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由肠道病毒引起的急性传染病，主要症状表现为手、足、口腔等部位的斑丘疹、疱疹。经 相关专科医生确诊为患有手足口病，并伴有下列三项中的任意一项并发症：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有脑膜炎或脑炎并发症，且导致意识障碍或瘫痪的临床表现及实验室检查证据；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有肺炎或肺水肿并发症，且导致呼吸衰竭的临床表现及实验室检查证据； </w:t>
            </w:r>
          </w:p>
          <w:p>
            <w:pPr>
              <w:widowControl/>
              <w:jc w:val="left"/>
              <w:rPr>
                <w:rFonts w:hint="eastAsia" w:ascii="黑体" w:hAnsi="黑体" w:eastAsia="黑体" w:cs="黑体"/>
                <w:b/>
                <w:sz w:val="22"/>
                <w:szCs w:val="22"/>
              </w:rPr>
            </w:pPr>
            <w:r>
              <w:rPr>
                <w:rFonts w:hint="eastAsia" w:ascii="黑体" w:hAnsi="黑体" w:eastAsia="黑体" w:cs="黑体"/>
                <w:sz w:val="22"/>
                <w:szCs w:val="22"/>
              </w:rPr>
              <w:t>3. 有心肌炎并发症，且导致心脏扩大或心力衰竭的临床表现及实验室检查证据。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68 神经白塞病</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神经白塞病是一种慢性全身性血管炎症性疾病，主要表现为复发性口腔溃疡、生殖器溃 疡、眼炎及皮肤损害，并可累及大血管、神经系统、消化道、肺、肾等。累及神经系统损 害的白塞病称为神经白塞病。神经白塞病必须明确诊断，并且已经造成永久不可逆的神经 系统损害。永久不可逆的神经系统损害指被保险人持续 180 天无法独立完成下列基本日常 生活活动：</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移动：自己从一个房间到另一个房间； </w:t>
            </w:r>
          </w:p>
          <w:p>
            <w:pPr>
              <w:widowControl/>
              <w:jc w:val="left"/>
              <w:rPr>
                <w:rFonts w:hint="eastAsia" w:ascii="黑体" w:hAnsi="黑体" w:eastAsia="黑体" w:cs="黑体"/>
                <w:b/>
                <w:sz w:val="22"/>
                <w:szCs w:val="22"/>
              </w:rPr>
            </w:pPr>
            <w:r>
              <w:rPr>
                <w:rFonts w:hint="eastAsia" w:ascii="黑体" w:hAnsi="黑体" w:eastAsia="黑体" w:cs="黑体"/>
                <w:sz w:val="22"/>
                <w:szCs w:val="22"/>
              </w:rPr>
              <w:t>2. 进食：自己从已准备好的碗或碟中取食物放入口中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69 系统性红斑狼 疮－（并发） Ⅲ型或以上狼 疮性肾炎</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系统性红斑狼疮是由多种因素引起，累及多系统的自身免疫性疾病。其特点是生成自身抗 体对抗多种自身抗原。多见于育龄妇女。 </w:t>
            </w:r>
          </w:p>
          <w:p>
            <w:pPr>
              <w:widowControl/>
              <w:jc w:val="left"/>
              <w:rPr>
                <w:rFonts w:hint="eastAsia" w:ascii="黑体" w:hAnsi="黑体" w:eastAsia="黑体" w:cs="黑体"/>
                <w:sz w:val="22"/>
                <w:szCs w:val="22"/>
              </w:rPr>
            </w:pPr>
            <w:r>
              <w:rPr>
                <w:rFonts w:hint="eastAsia" w:ascii="黑体" w:hAnsi="黑体" w:eastAsia="黑体" w:cs="黑体"/>
                <w:sz w:val="22"/>
                <w:szCs w:val="22"/>
              </w:rPr>
              <w:t>本合同所指的系统性红斑狼疮仅限于累及肾脏（经肾脏活检确认的，符合 WHO 诊断标准 定义Ⅲ型至 V 型狼疮性肾炎）的系统性红斑狼疮。其他类型的红斑性狼疮，如盘状狼疮、 仅累及血液及关节的狼疮不在保障范围内。本病必须由相关专科医生确诊。</w:t>
            </w:r>
          </w:p>
          <w:p>
            <w:pPr>
              <w:widowControl/>
              <w:jc w:val="left"/>
              <w:rPr>
                <w:rFonts w:hint="eastAsia" w:ascii="黑体" w:hAnsi="黑体" w:eastAsia="黑体" w:cs="黑体"/>
                <w:sz w:val="22"/>
                <w:szCs w:val="22"/>
              </w:rPr>
            </w:pPr>
            <w:r>
              <w:rPr>
                <w:rFonts w:hint="eastAsia" w:ascii="黑体" w:hAnsi="黑体" w:eastAsia="黑体" w:cs="黑体"/>
                <w:sz w:val="22"/>
                <w:szCs w:val="22"/>
              </w:rPr>
              <w:t>世界卫生组织（WHO）狼疮性肾炎分型：</w:t>
            </w:r>
          </w:p>
          <w:tbl>
            <w:tblPr>
              <w:tblStyle w:val="225"/>
              <w:tblW w:w="7545" w:type="dxa"/>
              <w:tblInd w:w="5" w:type="dxa"/>
              <w:tblLayout w:type="fixed"/>
              <w:tblCellMar>
                <w:top w:w="34" w:type="dxa"/>
                <w:left w:w="5" w:type="dxa"/>
                <w:bottom w:w="0" w:type="dxa"/>
                <w:right w:w="115" w:type="dxa"/>
              </w:tblCellMar>
            </w:tblPr>
            <w:tblGrid>
              <w:gridCol w:w="2837"/>
              <w:gridCol w:w="4708"/>
            </w:tblGrid>
            <w:tr>
              <w:tblPrEx>
                <w:tblCellMar>
                  <w:top w:w="34" w:type="dxa"/>
                  <w:left w:w="5" w:type="dxa"/>
                  <w:bottom w:w="0" w:type="dxa"/>
                  <w:right w:w="115" w:type="dxa"/>
                </w:tblCellMar>
              </w:tblPrEx>
              <w:trPr>
                <w:trHeight w:val="322" w:hRule="atLeast"/>
              </w:trPr>
              <w:tc>
                <w:tcPr>
                  <w:tcW w:w="2837" w:type="dxa"/>
                  <w:tcBorders>
                    <w:top w:val="single" w:color="000000" w:sz="4" w:space="0"/>
                    <w:left w:val="single" w:color="000000" w:sz="4" w:space="0"/>
                    <w:bottom w:val="single" w:color="000000" w:sz="4" w:space="0"/>
                    <w:right w:val="single" w:color="000000" w:sz="4" w:space="0"/>
                  </w:tcBorders>
                </w:tcPr>
                <w:p>
                  <w:pPr>
                    <w:spacing w:line="259" w:lineRule="auto"/>
                    <w:rPr>
                      <w:rFonts w:hint="eastAsia" w:ascii="黑体" w:hAnsi="黑体" w:eastAsia="黑体" w:cs="黑体"/>
                      <w:sz w:val="22"/>
                      <w:szCs w:val="22"/>
                    </w:rPr>
                  </w:pPr>
                  <w:r>
                    <w:rPr>
                      <w:rFonts w:hint="eastAsia" w:ascii="黑体" w:hAnsi="黑体" w:eastAsia="黑体" w:cs="黑体"/>
                      <w:sz w:val="22"/>
                      <w:szCs w:val="22"/>
                    </w:rPr>
                    <w:t xml:space="preserve">Ⅰ型（微小病变型） </w:t>
                  </w:r>
                </w:p>
              </w:tc>
              <w:tc>
                <w:tcPr>
                  <w:tcW w:w="4707" w:type="dxa"/>
                  <w:tcBorders>
                    <w:top w:val="single" w:color="000000" w:sz="4" w:space="0"/>
                    <w:left w:val="single" w:color="000000" w:sz="4" w:space="0"/>
                    <w:bottom w:val="single" w:color="000000" w:sz="4" w:space="0"/>
                    <w:right w:val="single" w:color="000000" w:sz="4" w:space="0"/>
                  </w:tcBorders>
                </w:tcPr>
                <w:p>
                  <w:pPr>
                    <w:spacing w:line="259" w:lineRule="auto"/>
                    <w:ind w:left="2"/>
                    <w:rPr>
                      <w:rFonts w:hint="eastAsia" w:ascii="黑体" w:hAnsi="黑体" w:eastAsia="黑体" w:cs="黑体"/>
                      <w:sz w:val="22"/>
                      <w:szCs w:val="22"/>
                    </w:rPr>
                  </w:pPr>
                  <w:r>
                    <w:rPr>
                      <w:rFonts w:hint="eastAsia" w:ascii="黑体" w:hAnsi="黑体" w:eastAsia="黑体" w:cs="黑体"/>
                      <w:sz w:val="22"/>
                      <w:szCs w:val="22"/>
                    </w:rPr>
                    <w:t xml:space="preserve">镜下阴性，尿液正常 </w:t>
                  </w:r>
                </w:p>
              </w:tc>
            </w:tr>
            <w:tr>
              <w:tblPrEx>
                <w:tblCellMar>
                  <w:top w:w="34" w:type="dxa"/>
                  <w:left w:w="5" w:type="dxa"/>
                  <w:bottom w:w="0" w:type="dxa"/>
                  <w:right w:w="115" w:type="dxa"/>
                </w:tblCellMar>
              </w:tblPrEx>
              <w:trPr>
                <w:trHeight w:val="334" w:hRule="atLeast"/>
              </w:trPr>
              <w:tc>
                <w:tcPr>
                  <w:tcW w:w="2837" w:type="dxa"/>
                  <w:tcBorders>
                    <w:top w:val="single" w:color="000000" w:sz="4" w:space="0"/>
                    <w:left w:val="single" w:color="000000" w:sz="4" w:space="0"/>
                    <w:bottom w:val="single" w:color="000000" w:sz="4" w:space="0"/>
                    <w:right w:val="single" w:color="000000" w:sz="4" w:space="0"/>
                  </w:tcBorders>
                </w:tcPr>
                <w:p>
                  <w:pPr>
                    <w:spacing w:line="259" w:lineRule="auto"/>
                    <w:rPr>
                      <w:rFonts w:hint="eastAsia" w:ascii="黑体" w:hAnsi="黑体" w:eastAsia="黑体" w:cs="黑体"/>
                      <w:sz w:val="22"/>
                      <w:szCs w:val="22"/>
                    </w:rPr>
                  </w:pPr>
                  <w:r>
                    <w:rPr>
                      <w:rFonts w:hint="eastAsia" w:ascii="黑体" w:hAnsi="黑体" w:eastAsia="黑体" w:cs="黑体"/>
                      <w:sz w:val="22"/>
                      <w:szCs w:val="22"/>
                    </w:rPr>
                    <w:t xml:space="preserve">Ⅱ型（系膜病变型） </w:t>
                  </w:r>
                </w:p>
              </w:tc>
              <w:tc>
                <w:tcPr>
                  <w:tcW w:w="4707" w:type="dxa"/>
                  <w:tcBorders>
                    <w:top w:val="single" w:color="000000" w:sz="4" w:space="0"/>
                    <w:left w:val="single" w:color="000000" w:sz="4" w:space="0"/>
                    <w:bottom w:val="single" w:color="000000" w:sz="4" w:space="0"/>
                    <w:right w:val="single" w:color="000000" w:sz="4" w:space="0"/>
                  </w:tcBorders>
                </w:tcPr>
                <w:p>
                  <w:pPr>
                    <w:spacing w:line="259" w:lineRule="auto"/>
                    <w:ind w:left="2"/>
                    <w:rPr>
                      <w:rFonts w:hint="eastAsia" w:ascii="黑体" w:hAnsi="黑体" w:eastAsia="黑体" w:cs="黑体"/>
                      <w:sz w:val="22"/>
                      <w:szCs w:val="22"/>
                    </w:rPr>
                  </w:pPr>
                  <w:r>
                    <w:rPr>
                      <w:rFonts w:hint="eastAsia" w:ascii="黑体" w:hAnsi="黑体" w:eastAsia="黑体" w:cs="黑体"/>
                      <w:sz w:val="22"/>
                      <w:szCs w:val="22"/>
                    </w:rPr>
                    <w:t xml:space="preserve">中度蛋白尿，偶有尿沉渣改变 </w:t>
                  </w:r>
                </w:p>
              </w:tc>
            </w:tr>
            <w:tr>
              <w:tblPrEx>
                <w:tblCellMar>
                  <w:top w:w="34" w:type="dxa"/>
                  <w:left w:w="5" w:type="dxa"/>
                  <w:bottom w:w="0" w:type="dxa"/>
                  <w:right w:w="115" w:type="dxa"/>
                </w:tblCellMar>
              </w:tblPrEx>
              <w:trPr>
                <w:trHeight w:val="324" w:hRule="atLeast"/>
              </w:trPr>
              <w:tc>
                <w:tcPr>
                  <w:tcW w:w="2837" w:type="dxa"/>
                  <w:tcBorders>
                    <w:top w:val="single" w:color="000000" w:sz="4" w:space="0"/>
                    <w:left w:val="single" w:color="000000" w:sz="4" w:space="0"/>
                    <w:bottom w:val="single" w:color="000000" w:sz="4" w:space="0"/>
                    <w:right w:val="single" w:color="000000" w:sz="4" w:space="0"/>
                  </w:tcBorders>
                </w:tcPr>
                <w:p>
                  <w:pPr>
                    <w:spacing w:line="259" w:lineRule="auto"/>
                    <w:rPr>
                      <w:rFonts w:hint="eastAsia" w:ascii="黑体" w:hAnsi="黑体" w:eastAsia="黑体" w:cs="黑体"/>
                      <w:sz w:val="22"/>
                      <w:szCs w:val="22"/>
                    </w:rPr>
                  </w:pPr>
                  <w:r>
                    <w:rPr>
                      <w:rFonts w:hint="eastAsia" w:ascii="黑体" w:hAnsi="黑体" w:eastAsia="黑体" w:cs="黑体"/>
                      <w:sz w:val="22"/>
                      <w:szCs w:val="22"/>
                    </w:rPr>
                    <w:t xml:space="preserve">Ⅲ型（局灶及节段增生型） </w:t>
                  </w:r>
                </w:p>
              </w:tc>
              <w:tc>
                <w:tcPr>
                  <w:tcW w:w="4707" w:type="dxa"/>
                  <w:tcBorders>
                    <w:top w:val="single" w:color="000000" w:sz="4" w:space="0"/>
                    <w:left w:val="single" w:color="000000" w:sz="4" w:space="0"/>
                    <w:bottom w:val="single" w:color="000000" w:sz="4" w:space="0"/>
                    <w:right w:val="single" w:color="000000" w:sz="4" w:space="0"/>
                  </w:tcBorders>
                </w:tcPr>
                <w:p>
                  <w:pPr>
                    <w:spacing w:line="259" w:lineRule="auto"/>
                    <w:ind w:left="2"/>
                    <w:rPr>
                      <w:rFonts w:hint="eastAsia" w:ascii="黑体" w:hAnsi="黑体" w:eastAsia="黑体" w:cs="黑体"/>
                      <w:sz w:val="22"/>
                      <w:szCs w:val="22"/>
                    </w:rPr>
                  </w:pPr>
                  <w:r>
                    <w:rPr>
                      <w:rFonts w:hint="eastAsia" w:ascii="黑体" w:hAnsi="黑体" w:eastAsia="黑体" w:cs="黑体"/>
                      <w:sz w:val="22"/>
                      <w:szCs w:val="22"/>
                    </w:rPr>
                    <w:t xml:space="preserve">蛋白尿，尿沉渣改变 </w:t>
                  </w:r>
                </w:p>
              </w:tc>
            </w:tr>
            <w:tr>
              <w:tblPrEx>
                <w:tblCellMar>
                  <w:top w:w="34" w:type="dxa"/>
                  <w:left w:w="5" w:type="dxa"/>
                  <w:bottom w:w="0" w:type="dxa"/>
                  <w:right w:w="115" w:type="dxa"/>
                </w:tblCellMar>
              </w:tblPrEx>
              <w:trPr>
                <w:trHeight w:val="334" w:hRule="atLeast"/>
              </w:trPr>
              <w:tc>
                <w:tcPr>
                  <w:tcW w:w="2837" w:type="dxa"/>
                  <w:tcBorders>
                    <w:top w:val="single" w:color="000000" w:sz="4" w:space="0"/>
                    <w:left w:val="single" w:color="000000" w:sz="4" w:space="0"/>
                    <w:bottom w:val="single" w:color="000000" w:sz="4" w:space="0"/>
                    <w:right w:val="single" w:color="000000" w:sz="4" w:space="0"/>
                  </w:tcBorders>
                </w:tcPr>
                <w:p>
                  <w:pPr>
                    <w:spacing w:line="259" w:lineRule="auto"/>
                    <w:rPr>
                      <w:rFonts w:hint="eastAsia" w:ascii="黑体" w:hAnsi="黑体" w:eastAsia="黑体" w:cs="黑体"/>
                      <w:sz w:val="22"/>
                      <w:szCs w:val="22"/>
                    </w:rPr>
                  </w:pPr>
                  <w:r>
                    <w:rPr>
                      <w:rFonts w:hint="eastAsia" w:ascii="黑体" w:hAnsi="黑体" w:eastAsia="黑体" w:cs="黑体"/>
                      <w:sz w:val="22"/>
                      <w:szCs w:val="22"/>
                    </w:rPr>
                    <w:t xml:space="preserve">Ⅳ型（弥漫增生型） </w:t>
                  </w:r>
                </w:p>
              </w:tc>
              <w:tc>
                <w:tcPr>
                  <w:tcW w:w="4707" w:type="dxa"/>
                  <w:tcBorders>
                    <w:top w:val="single" w:color="000000" w:sz="4" w:space="0"/>
                    <w:left w:val="single" w:color="000000" w:sz="4" w:space="0"/>
                    <w:bottom w:val="single" w:color="000000" w:sz="4" w:space="0"/>
                    <w:right w:val="single" w:color="000000" w:sz="4" w:space="0"/>
                  </w:tcBorders>
                </w:tcPr>
                <w:p>
                  <w:pPr>
                    <w:spacing w:line="259" w:lineRule="auto"/>
                    <w:ind w:left="2"/>
                    <w:rPr>
                      <w:rFonts w:hint="eastAsia" w:ascii="黑体" w:hAnsi="黑体" w:eastAsia="黑体" w:cs="黑体"/>
                      <w:sz w:val="22"/>
                      <w:szCs w:val="22"/>
                    </w:rPr>
                  </w:pPr>
                  <w:r>
                    <w:rPr>
                      <w:rFonts w:hint="eastAsia" w:ascii="黑体" w:hAnsi="黑体" w:eastAsia="黑体" w:cs="黑体"/>
                      <w:sz w:val="22"/>
                      <w:szCs w:val="22"/>
                    </w:rPr>
                    <w:t xml:space="preserve">急性肾炎伴有尿沉渣改变及/或肾病综合征 </w:t>
                  </w:r>
                </w:p>
              </w:tc>
            </w:tr>
            <w:tr>
              <w:tblPrEx>
                <w:tblCellMar>
                  <w:top w:w="34" w:type="dxa"/>
                  <w:left w:w="5" w:type="dxa"/>
                  <w:bottom w:w="0" w:type="dxa"/>
                  <w:right w:w="115" w:type="dxa"/>
                </w:tblCellMar>
              </w:tblPrEx>
              <w:trPr>
                <w:trHeight w:val="334" w:hRule="atLeast"/>
              </w:trPr>
              <w:tc>
                <w:tcPr>
                  <w:tcW w:w="2837" w:type="dxa"/>
                  <w:tcBorders>
                    <w:top w:val="single" w:color="000000" w:sz="4" w:space="0"/>
                    <w:left w:val="single" w:color="000000" w:sz="4" w:space="0"/>
                    <w:bottom w:val="single" w:color="000000" w:sz="4" w:space="0"/>
                    <w:right w:val="single" w:color="000000" w:sz="4" w:space="0"/>
                  </w:tcBorders>
                </w:tcPr>
                <w:p>
                  <w:pPr>
                    <w:spacing w:line="259" w:lineRule="auto"/>
                    <w:rPr>
                      <w:rFonts w:hint="eastAsia" w:ascii="黑体" w:hAnsi="黑体" w:eastAsia="黑体" w:cs="黑体"/>
                      <w:sz w:val="22"/>
                      <w:szCs w:val="22"/>
                    </w:rPr>
                  </w:pPr>
                  <w:r>
                    <w:rPr>
                      <w:rFonts w:hint="eastAsia" w:ascii="黑体" w:hAnsi="黑体" w:eastAsia="黑体" w:cs="黑体"/>
                      <w:sz w:val="22"/>
                      <w:szCs w:val="22"/>
                    </w:rPr>
                    <w:t xml:space="preserve">Ⅴ型（膜型） </w:t>
                  </w:r>
                </w:p>
              </w:tc>
              <w:tc>
                <w:tcPr>
                  <w:tcW w:w="4707" w:type="dxa"/>
                  <w:tcBorders>
                    <w:top w:val="single" w:color="000000" w:sz="4" w:space="0"/>
                    <w:left w:val="single" w:color="000000" w:sz="4" w:space="0"/>
                    <w:bottom w:val="single" w:color="000000" w:sz="4" w:space="0"/>
                    <w:right w:val="single" w:color="000000" w:sz="4" w:space="0"/>
                  </w:tcBorders>
                </w:tcPr>
                <w:p>
                  <w:pPr>
                    <w:spacing w:line="259" w:lineRule="auto"/>
                    <w:ind w:left="2"/>
                    <w:rPr>
                      <w:rFonts w:hint="eastAsia" w:ascii="黑体" w:hAnsi="黑体" w:eastAsia="黑体" w:cs="黑体"/>
                      <w:sz w:val="22"/>
                      <w:szCs w:val="22"/>
                    </w:rPr>
                  </w:pPr>
                  <w:r>
                    <w:rPr>
                      <w:rFonts w:hint="eastAsia" w:ascii="黑体" w:hAnsi="黑体" w:eastAsia="黑体" w:cs="黑体"/>
                      <w:sz w:val="22"/>
                      <w:szCs w:val="22"/>
                    </w:rPr>
                    <w:t xml:space="preserve">肾病综合征或重度蛋白尿 </w:t>
                  </w:r>
                </w:p>
              </w:tc>
            </w:tr>
          </w:tbl>
          <w:p>
            <w:pPr>
              <w:widowControl/>
              <w:jc w:val="left"/>
              <w:rPr>
                <w:rFonts w:hint="eastAsia" w:ascii="黑体" w:hAnsi="黑体" w:eastAsia="黑体" w:cs="黑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70 肾髓质囊性病</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肾髓质囊性病的诊断须同时符合下列要求：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肾髓质有囊肿、肾小管萎缩及间质纤维化等病理改变；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肾功能衰竭；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诊断须由肾组织活检确定。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本公司承担本项疾病责任不受本合同责任免除中“遗传性疾病，先天性畸形、变形或染色 体异常”的限制。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71 特发性慢性肾 上腺皮质功能 减退</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因为自身免疫功能紊乱，使肾上腺组织逐渐受损，而需要长期接受糖皮质激素及肾上腺皮 质激素替代疗法。该病必须经相关专科医生确诊，并有以下报告作为证据：</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促肾上腺皮质激素(ACTH)刺激试验；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胰岛素血糖减少测试；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血浆促肾上腺皮质激素(ACTH)水平测定； 4. 血浆肾素活性(PRA)测定。 </w:t>
            </w:r>
          </w:p>
          <w:p>
            <w:pPr>
              <w:widowControl/>
              <w:jc w:val="left"/>
              <w:rPr>
                <w:rFonts w:hint="eastAsia" w:ascii="黑体" w:hAnsi="黑体" w:eastAsia="黑体" w:cs="黑体"/>
                <w:b/>
                <w:sz w:val="22"/>
                <w:szCs w:val="22"/>
              </w:rPr>
            </w:pPr>
            <w:r>
              <w:rPr>
                <w:rFonts w:hint="eastAsia" w:ascii="黑体" w:hAnsi="黑体" w:eastAsia="黑体" w:cs="黑体"/>
                <w:sz w:val="22"/>
                <w:szCs w:val="22"/>
              </w:rPr>
              <w:t>慢性肾上腺皮质功能衰竭只对由自身免疫功能紊乱引起的承担保险责任，其他原因引起的 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72 系统性硬皮病</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指一种全身性的胶原血管性疾病，可以导致皮肤、血管及内脏器官进行性弥漫性纤维化。 诊断必须经活检及血清学检查证实，疾病必须是全身性，且须满足下列至少一项条件：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肺脏：肺部病变进而发展为肺间质纤维化和肺动脉高压；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心脏：心功能受损达到美国纽约心脏病学会心功能状态分级 IV 级；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肾脏：肾脏受损导致双肾功能慢性不可逆衰竭，达到尿毒症期。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以下情况不在保障范围内：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局限性硬皮病（带状硬皮病或斑状损害）；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嗜酸性筋膜炎； </w:t>
            </w:r>
          </w:p>
          <w:p>
            <w:pPr>
              <w:widowControl/>
              <w:jc w:val="left"/>
              <w:rPr>
                <w:rFonts w:hint="eastAsia" w:ascii="黑体" w:hAnsi="黑体" w:eastAsia="黑体" w:cs="黑体"/>
                <w:b/>
                <w:sz w:val="22"/>
                <w:szCs w:val="22"/>
              </w:rPr>
            </w:pPr>
            <w:r>
              <w:rPr>
                <w:rFonts w:hint="eastAsia" w:ascii="黑体" w:hAnsi="黑体" w:eastAsia="黑体" w:cs="黑体"/>
                <w:sz w:val="22"/>
                <w:szCs w:val="22"/>
              </w:rPr>
              <w:t>3. CREST 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73 原发性硬化性 胆管炎</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指一种胆汁淤积综合征，其特征是肝内、肝外胆道因纤维化性炎症逐渐狭窄，并最终导致 完全阻塞而发展为肝硬化。本病须经内镜逆行胰胆管造影等影像学检查证实，并须满足下 列全部条件：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总胆红素和直接胆红素同时升高，血清 ALP&gt;200U/L；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持续性黄疸病史；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出现胆汁性肝硬化或门脉高压。 </w:t>
            </w:r>
          </w:p>
          <w:p>
            <w:pPr>
              <w:widowControl/>
              <w:jc w:val="left"/>
              <w:rPr>
                <w:rFonts w:hint="eastAsia" w:ascii="黑体" w:hAnsi="黑体" w:eastAsia="黑体" w:cs="黑体"/>
                <w:b/>
                <w:sz w:val="22"/>
                <w:szCs w:val="22"/>
              </w:rPr>
            </w:pPr>
            <w:r>
              <w:rPr>
                <w:rFonts w:hint="eastAsia" w:ascii="黑体" w:hAnsi="黑体" w:eastAsia="黑体" w:cs="黑体"/>
                <w:sz w:val="22"/>
                <w:szCs w:val="22"/>
              </w:rPr>
              <w:t>因肿瘤或胆管损伤等继发性的硬化性胆管炎不在保障范围内。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74 严重肠道疾病 并发症</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严重肠道疾病或外伤导致小肠损害并发症，本疾病须满足以下所有条件：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至少切除了三分之二小肠； </w:t>
            </w:r>
          </w:p>
          <w:p>
            <w:pPr>
              <w:widowControl/>
              <w:jc w:val="left"/>
              <w:rPr>
                <w:rFonts w:hint="eastAsia" w:ascii="黑体" w:hAnsi="黑体" w:eastAsia="黑体" w:cs="黑体"/>
                <w:b/>
                <w:sz w:val="22"/>
                <w:szCs w:val="22"/>
              </w:rPr>
            </w:pPr>
            <w:r>
              <w:rPr>
                <w:rFonts w:hint="eastAsia" w:ascii="黑体" w:hAnsi="黑体" w:eastAsia="黑体" w:cs="黑体"/>
                <w:sz w:val="22"/>
                <w:szCs w:val="22"/>
              </w:rPr>
              <w:t>2. 完全肠外营养支持三个月以上。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75 范可尼综合征</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指近端肾小管的功能异常引起的一组症候群。须满足下列至少两个条件：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尿液检查出现肾性糖尿、全氨基酸糖尿或磷酸盐尿；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血液检查出现低磷血症、低尿酸血症或近端肾小管酸中毒；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出现骨质疏松、骨骼畸形或尿路结石； </w:t>
            </w:r>
          </w:p>
          <w:p>
            <w:pPr>
              <w:widowControl/>
              <w:jc w:val="left"/>
              <w:rPr>
                <w:rFonts w:hint="eastAsia" w:ascii="黑体" w:hAnsi="黑体" w:eastAsia="黑体" w:cs="黑体"/>
                <w:b/>
                <w:sz w:val="22"/>
                <w:szCs w:val="22"/>
              </w:rPr>
            </w:pPr>
            <w:r>
              <w:rPr>
                <w:rFonts w:hint="eastAsia" w:ascii="黑体" w:hAnsi="黑体" w:eastAsia="黑体" w:cs="黑体"/>
                <w:sz w:val="22"/>
                <w:szCs w:val="22"/>
              </w:rPr>
              <w:t>4. 通过骨髓片、白细胞、直肠黏膜中的结晶分析或裂隙灯检查角膜有胱氨酸结晶。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76 肝豆状核变性</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肝豆状核变性是一种可能危及生命的铜代谢疾病，以铜沉积造成的渐进性肝功能损害及/或 神经功能恶化为特征。必须由相关专科医生通过肝脏活组织检查结果确定诊断并配合螯合 剂治疗持续至少 6 个月。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本公司承担本项疾病责任不受本合同责任免除中“遗传性疾病，先天性畸形、变形或染色 体异常”的限制。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77 弥漫性血管内 凝血</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指血液凝固系统和纤溶系统的过度活动导致微血管血栓形成、血小板及凝血因子耗竭和严 重出血，需要输注血浆和浓缩血小板进行治疗。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78 严重哮喘—— 25 周岁前理 赔</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指一种反复发作的严重支气管阻塞性疾病，经相关专科医生确诊，且必须同时符合下列标 准：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过去两年中曾因哮喘持续状态住院治疗，并提供完整住院记录；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因慢性过度换气导致胸廓畸形；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在家中需要医生处方的氧气治疗法； </w:t>
            </w:r>
          </w:p>
          <w:p>
            <w:pPr>
              <w:widowControl/>
              <w:jc w:val="left"/>
              <w:rPr>
                <w:rFonts w:hint="eastAsia" w:ascii="黑体" w:hAnsi="黑体" w:eastAsia="黑体" w:cs="黑体"/>
                <w:b/>
                <w:sz w:val="22"/>
                <w:szCs w:val="22"/>
              </w:rPr>
            </w:pPr>
            <w:r>
              <w:rPr>
                <w:rFonts w:hint="eastAsia" w:ascii="黑体" w:hAnsi="黑体" w:eastAsia="黑体" w:cs="黑体"/>
                <w:sz w:val="22"/>
                <w:szCs w:val="22"/>
              </w:rPr>
              <w:t>4. 持续日常服用口服类固醇激素治疗持续至少六个月。 被保险人申请理赔时年龄必须在年满 25 周岁之前。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79 败血症导致的 多器官功能障 碍综合症</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多器官功能障碍指败血症导致的并发症，一个或多个器官系统生理功能障碍（MODS）， 因该疾病住院至少 96 小时，并至少满足以下一条标准：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呼吸衰竭，需要进行气管插管机械通气； </w:t>
            </w:r>
          </w:p>
          <w:p>
            <w:pPr>
              <w:widowControl/>
              <w:jc w:val="left"/>
              <w:rPr>
                <w:rFonts w:hint="eastAsia" w:ascii="黑体" w:hAnsi="黑体" w:eastAsia="黑体" w:cs="黑体"/>
                <w:sz w:val="22"/>
                <w:szCs w:val="22"/>
              </w:rPr>
            </w:pPr>
            <w:r>
              <w:rPr>
                <w:rFonts w:hint="eastAsia" w:ascii="黑体" w:hAnsi="黑体" w:eastAsia="黑体" w:cs="黑体"/>
                <w:sz w:val="22"/>
                <w:szCs w:val="22"/>
              </w:rPr>
              <w:t>2. 凝血血小板计数&lt;50*10³/微升；</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 3. 肝功能不全，胆红素&gt;6mg/dl 或&gt;102µmol/L；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4. 需要用强心剂；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5. 昏迷格拉斯哥昏迷评分（GCS）&lt;=9；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6. 肾功能衰竭，血清肌酐&gt;300μmol/L 或&gt;3.5mg/dl 或尿量&lt;500ml/d；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7. 败血症有血液和影像学检查证实；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8. 住院重症监护病房最低 96 小时；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9. 器官功能障碍维持至少 15 天。 </w:t>
            </w:r>
          </w:p>
          <w:p>
            <w:pPr>
              <w:widowControl/>
              <w:jc w:val="left"/>
              <w:rPr>
                <w:rFonts w:hint="eastAsia" w:ascii="黑体" w:hAnsi="黑体" w:eastAsia="黑体" w:cs="黑体"/>
                <w:b/>
                <w:sz w:val="22"/>
                <w:szCs w:val="22"/>
              </w:rPr>
            </w:pPr>
            <w:r>
              <w:rPr>
                <w:rFonts w:hint="eastAsia" w:ascii="黑体" w:hAnsi="黑体" w:eastAsia="黑体" w:cs="黑体"/>
                <w:sz w:val="22"/>
                <w:szCs w:val="22"/>
              </w:rPr>
              <w:t>败血症引起的 MODS 的诊断应由相关专科医生证实。非败血症引起的 MODS 不在保障范围 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80 严重获得性或 继发性肺泡蛋 白质沉积症</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因获得性或继发性原因导致双肺肺泡和细支气管腔内充满不可溶性富磷脂蛋白的疾病。理 赔时须满足下列所有条件：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支气管镜活检或开胸肺活检病理检查证实肺泡内充满有过碘酸雪夫（PAS）染色阳性的 蛋白样物质； </w:t>
            </w:r>
          </w:p>
          <w:p>
            <w:pPr>
              <w:widowControl/>
              <w:jc w:val="left"/>
              <w:rPr>
                <w:rFonts w:hint="eastAsia" w:ascii="黑体" w:hAnsi="黑体" w:eastAsia="黑体" w:cs="黑体"/>
                <w:b/>
                <w:sz w:val="22"/>
                <w:szCs w:val="22"/>
              </w:rPr>
            </w:pPr>
            <w:r>
              <w:rPr>
                <w:rFonts w:hint="eastAsia" w:ascii="黑体" w:hAnsi="黑体" w:eastAsia="黑体" w:cs="黑体"/>
                <w:sz w:val="22"/>
                <w:szCs w:val="22"/>
              </w:rPr>
              <w:t>2. 被保险人因中重度呼吸困难或低氧血症而实际已行全身麻醉下的全肺灌洗治疗。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81 肺淋巴管肌瘤 病</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肺淋巴管肌瘤病是一种弥漫性肺部疾病，主要病理改变为肺间质、支气管、血管和淋巴管 内出现未成熟的平滑肌异常增生，同时需满足下列全部条件：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经组织病理学诊断；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CT 显示双肺弥漫性囊性改变； </w:t>
            </w:r>
          </w:p>
          <w:p>
            <w:pPr>
              <w:widowControl/>
              <w:jc w:val="left"/>
              <w:rPr>
                <w:rFonts w:hint="eastAsia" w:ascii="黑体" w:hAnsi="黑体" w:eastAsia="黑体" w:cs="黑体"/>
                <w:b/>
                <w:sz w:val="22"/>
                <w:szCs w:val="22"/>
              </w:rPr>
            </w:pPr>
            <w:r>
              <w:rPr>
                <w:rFonts w:hint="eastAsia" w:ascii="黑体" w:hAnsi="黑体" w:eastAsia="黑体" w:cs="黑体"/>
                <w:sz w:val="22"/>
                <w:szCs w:val="22"/>
              </w:rPr>
              <w:t>3. 休息时出现呼吸困难并经相关专科医生认可有必要进行肺移植手术。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82 胰腺移植</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指胰腺功能衰竭，已经实施了在全身麻醉下进行的胰腺的异体器官移植手术。 </w:t>
            </w:r>
          </w:p>
          <w:p>
            <w:pPr>
              <w:widowControl/>
              <w:jc w:val="left"/>
              <w:rPr>
                <w:rFonts w:hint="eastAsia" w:ascii="黑体" w:hAnsi="黑体" w:eastAsia="黑体" w:cs="黑体"/>
                <w:b/>
                <w:sz w:val="22"/>
                <w:szCs w:val="22"/>
              </w:rPr>
            </w:pPr>
            <w:r>
              <w:rPr>
                <w:rFonts w:hint="eastAsia" w:ascii="黑体" w:hAnsi="黑体" w:eastAsia="黑体" w:cs="黑体"/>
                <w:sz w:val="22"/>
                <w:szCs w:val="22"/>
              </w:rPr>
              <w:t>单纯胰岛移植、部分胰腺组织或细胞的移植不在本保障范围内。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83 急性坏死性胰 腺炎开腹手术</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指被保险人因为急性出血坏死性胰腺炎已经接受了外科开腹手术治疗，以进行坏死组织清 除、坏死病灶切除或胰腺切除。 </w:t>
            </w:r>
          </w:p>
          <w:p>
            <w:pPr>
              <w:widowControl/>
              <w:jc w:val="left"/>
              <w:rPr>
                <w:rFonts w:hint="eastAsia" w:ascii="黑体" w:hAnsi="黑体" w:eastAsia="黑体" w:cs="黑体"/>
                <w:b/>
                <w:sz w:val="22"/>
                <w:szCs w:val="22"/>
              </w:rPr>
            </w:pPr>
            <w:r>
              <w:rPr>
                <w:rFonts w:hint="eastAsia" w:ascii="黑体" w:hAnsi="黑体" w:eastAsia="黑体" w:cs="黑体"/>
                <w:sz w:val="22"/>
                <w:szCs w:val="22"/>
              </w:rPr>
              <w:t>因饮酒所致的急性出血坏死性胰腺炎或经腹腔镜手术进行的治疗不在保障范围内。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84 慢性复发性胰 腺炎</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胰腺炎反复发作超过三次以上并导致胰腺功能紊乱和营养不良，需要接受酶替代治疗。诊 断必须有相关专科医生确认并且有内窥镜逆行胰胆管造影所证实。 </w:t>
            </w:r>
          </w:p>
          <w:p>
            <w:pPr>
              <w:widowControl/>
              <w:jc w:val="left"/>
              <w:rPr>
                <w:rFonts w:hint="eastAsia" w:ascii="黑体" w:hAnsi="黑体" w:eastAsia="黑体" w:cs="黑体"/>
                <w:b/>
                <w:sz w:val="22"/>
                <w:szCs w:val="22"/>
              </w:rPr>
            </w:pPr>
            <w:r>
              <w:rPr>
                <w:rFonts w:hint="eastAsia" w:ascii="黑体" w:hAnsi="黑体" w:eastAsia="黑体" w:cs="黑体"/>
                <w:sz w:val="22"/>
                <w:szCs w:val="22"/>
              </w:rPr>
              <w:t>因酒精所致的慢性复发性胰腺炎除外。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85 严重自身免疫 性肝炎</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自身免疫性肝炎是一种原因不明的慢性肝脏的坏死性炎性疾病，机体免疫机制被破坏，产 生针对肝脏自身抗原的抗体导致自身免疫反应，从而破坏肝细胞造成肝脏炎症坏死，进而 发展为肝硬化。必须满足所有以下条件：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高γ球蛋白血症；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血液中存在高水平的自身免疫抗体，如 ANA（抗核抗体）、SMA（抗平滑肌抗体）、抗 LKM1 抗体或抗-SLA/LP 抗体；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肝脏活检证实免疫性肝炎； </w:t>
            </w:r>
          </w:p>
          <w:p>
            <w:pPr>
              <w:widowControl/>
              <w:jc w:val="left"/>
              <w:rPr>
                <w:rFonts w:hint="eastAsia" w:ascii="黑体" w:hAnsi="黑体" w:eastAsia="黑体" w:cs="黑体"/>
                <w:b/>
                <w:sz w:val="22"/>
                <w:szCs w:val="22"/>
              </w:rPr>
            </w:pPr>
            <w:r>
              <w:rPr>
                <w:rFonts w:hint="eastAsia" w:ascii="黑体" w:hAnsi="黑体" w:eastAsia="黑体" w:cs="黑体"/>
                <w:sz w:val="22"/>
                <w:szCs w:val="22"/>
              </w:rPr>
              <w:t>4. 临床已经出现腹水、食道静脉曲张和脾肿大等肝硬化表现。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86 胆道重建手术</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指因胆道创伤导致接受涉及胆总管小肠吻合术的胆道重建手术。手术必须在相关专科医生 认为是医疗所需的情况下进行。胆道闭锁并不在保障范围内。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87 席汉氏综合征</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指因产后大出血并发休克、全身循环衰竭、弥漫性血管内凝血导致脑垂体缺血坏死和垂体 分泌激素不足，造成性腺、甲状腺、肾上腺皮质功能减退。必须满足下列所有条件： 1. 产后大出血休克病史；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严重腺垂体功能破坏，破坏程度&gt;95%；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影像学检查显示脑垂体严重萎缩或消失；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4. 实验室检查显示：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（1）垂体前叶激素全面低下（包括生长激素、促甲状腺素、促肾上腺皮质激素、卵泡刺激 素和黄体生成素）；和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（2）性激素、甲状腺素、肾上腺皮质激素全面低下； </w:t>
            </w:r>
          </w:p>
          <w:p>
            <w:pPr>
              <w:widowControl/>
              <w:jc w:val="left"/>
              <w:rPr>
                <w:rFonts w:hint="eastAsia" w:ascii="黑体" w:hAnsi="黑体" w:eastAsia="黑体" w:cs="黑体"/>
                <w:b/>
                <w:sz w:val="22"/>
                <w:szCs w:val="22"/>
              </w:rPr>
            </w:pPr>
            <w:r>
              <w:rPr>
                <w:rFonts w:hint="eastAsia" w:ascii="黑体" w:hAnsi="黑体" w:eastAsia="黑体" w:cs="黑体"/>
                <w:sz w:val="22"/>
                <w:szCs w:val="22"/>
              </w:rPr>
              <w:t>5. 需要终身激素替代治疗以维持身体功能，持续服用各种替代激素超过一年。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88 严重类风湿性 关节炎</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类风湿性关节炎为广泛分布的慢性进行性多关节病变，表现为关节严重变形，侵犯至少三 个主要关节或关节组（如：双手（多手指）关节、双足（多足趾）关节、双腕关节、双膝 关节和双髋关节）。类风湿性关节炎必须明确诊断并且已经达到类风湿性关节炎功能分级 Ⅲ级以上的功能障碍（关节活动严重限制，不能完成大部分的日常工作和活动）并且自主 生活能力完全丧失，无法独立完成六项基本日常生活活动中的三项或三项以上。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89 重症急性坏死 性筋膜炎</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坏死性筋膜炎的诊断须同时符合下列要求：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符合坏死性筋膜炎的一般临床表现；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细菌培养检出致病菌；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出现广泛性肌肉及软组织坏死，并导致身体受影响部位永久完全失去功能。 </w:t>
            </w:r>
          </w:p>
          <w:p>
            <w:pPr>
              <w:widowControl/>
              <w:jc w:val="left"/>
              <w:rPr>
                <w:rFonts w:hint="eastAsia" w:ascii="黑体" w:hAnsi="黑体" w:eastAsia="黑体" w:cs="黑体"/>
                <w:b/>
                <w:sz w:val="22"/>
                <w:szCs w:val="22"/>
              </w:rPr>
            </w:pPr>
            <w:r>
              <w:rPr>
                <w:rFonts w:hint="eastAsia" w:ascii="黑体" w:hAnsi="黑体" w:eastAsia="黑体" w:cs="黑体"/>
                <w:sz w:val="22"/>
                <w:szCs w:val="22"/>
              </w:rPr>
              <w:t>所谓永久完全失去功能是指受影响部位的全部功能完全丧失超过 180 天者。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90 失去一肢及一 眼</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因疾病或受伤导致以下两项情形同时不可复原及永久性完全丧失：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一眼视力； </w:t>
            </w:r>
          </w:p>
          <w:p>
            <w:pPr>
              <w:widowControl/>
              <w:jc w:val="left"/>
              <w:rPr>
                <w:rFonts w:hint="eastAsia" w:ascii="黑体" w:hAnsi="黑体" w:eastAsia="黑体" w:cs="黑体"/>
                <w:b/>
                <w:sz w:val="22"/>
                <w:szCs w:val="22"/>
              </w:rPr>
            </w:pPr>
            <w:r>
              <w:rPr>
                <w:rFonts w:hint="eastAsia" w:ascii="黑体" w:hAnsi="黑体" w:eastAsia="黑体" w:cs="黑体"/>
                <w:sz w:val="22"/>
                <w:szCs w:val="22"/>
              </w:rPr>
              <w:t>2. 任何一肢于腕骨或踝骨部位或以上切断。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91 严重面部烧伤</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指烧伤程度为Ⅲ度，且Ⅲ度烧伤的面积达到面部表面积的 80%或 80%以上。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92 多处臂丛神经 根性撕脱</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由于疾病或意外导致至少两根臂丛神经根性撕脱，所造成的手臂感觉功能与运动功能完全 永久性丧失。该病须由相关专科医生明确诊断，并且有电生理检查结果证实。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93 骨生长不全症</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指一种胶原病，特征为骨易碎，骨质疏松和易骨折。该病有 4 种类型：Ⅰ型、Ⅱ型、Ⅲ 型、Ⅳ型。只保障Ⅲ型成骨不全的情形。其主要临床特点有：发展迟缓、多发性骨折、进 行性脊柱后侧凸及听力损害。Ⅲ型成骨不全的诊断必须根据身体检查，家族史，X 线检查 和皮肤活检报告资料确诊。 本公司承担本项疾病责任不受本合同责任免除中“遗传性疾病，先天性畸形、变形或染色 体异常”的限制。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94 溶血性链球菌 引起的坏疽</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包围肢体或躯干的浅筋膜和/或深筋膜受到溶血性链球菌的感染，病情在短时间内急剧恶 化，已经立刻进行了手术及清创术。最后的诊断必须由相关专科医生进行相关检查后证 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95 严重幼年型类 风湿性关节炎 ——18 周岁 前理赔</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指为了治疗幼年型类风湿关节炎，实际实施了膝关节或髋关节置换手术。 幼年型类风湿关节炎是一种儿童期发病的慢性关节炎，其特点为在高热和系统性病征出现 数月后发生关节炎。 被保险人疾病诊断时年龄必须在年满 18 周岁之前。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96 埃博拉病毒感 染</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指埃博拉病毒感染导致的烈性传染病，并须满足下列全部条件：</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 1. 实验室检查证实埃博拉病毒的存在；</w:t>
            </w:r>
          </w:p>
          <w:p>
            <w:pPr>
              <w:widowControl/>
              <w:jc w:val="left"/>
              <w:rPr>
                <w:rFonts w:hint="eastAsia" w:ascii="黑体" w:hAnsi="黑体" w:eastAsia="黑体" w:cs="黑体"/>
                <w:b/>
                <w:sz w:val="22"/>
                <w:szCs w:val="22"/>
              </w:rPr>
            </w:pPr>
            <w:r>
              <w:rPr>
                <w:rFonts w:hint="eastAsia" w:ascii="黑体" w:hAnsi="黑体" w:eastAsia="黑体" w:cs="黑体"/>
                <w:sz w:val="22"/>
                <w:szCs w:val="22"/>
              </w:rPr>
              <w:t xml:space="preserve"> 2. 从发病开始有超过 30 天的进行性感染症状。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b/>
                <w:sz w:val="22"/>
                <w:szCs w:val="22"/>
              </w:rPr>
              <w:br w:type="page"/>
            </w:r>
            <w:r>
              <w:rPr>
                <w:rFonts w:hint="eastAsia" w:ascii="黑体" w:hAnsi="黑体" w:eastAsia="黑体" w:cs="黑体"/>
                <w:sz w:val="22"/>
                <w:szCs w:val="22"/>
              </w:rPr>
              <w:t>97 丝虫病所致象 皮肿</w:t>
            </w:r>
          </w:p>
        </w:tc>
        <w:tc>
          <w:tcPr>
            <w:tcW w:w="7403"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指末期丝虫病，按国际淋巴学会分级为三度淋巴液肿，其临床表现为肢体非凹陷性水肿伴 畸形增大、硬皮症和疣状增生。此病症须经相关专科医生根据临床表现和微丝蚴的化验结 果确诊。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98 器官移植导致 的 HIV 感染</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指因进行器官移植而感染上人类免疫缺陷病毒（HIV），且须满足下列全部条件：</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被保险人因治疗必需而实施器官移植，并且因器官移植而感染人类免疫缺陷病毒 （HIV）；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提供器官移植治疗的器官移植中心或医院出具该项器官移植感染，属于医疗责任事故的 报告，或者法院终审裁定为医疗责任并且不准上诉；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提供器官移植治疗的器官移植中心或医院必须拥有合法经营执照。 在任何治愈艾滋病或阻止人类免疫缺陷病毒（HIV）病毒作用的疗法被发现以后，或能防 止艾滋病发生的医疗方法被研究出来以后，本保障将不再予以赔付。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本公司承担本项疾病责任不受本合同责任免除中“被保险人感染艾滋病病毒或患艾滋病” 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99 经输血导致的 HIV 感染</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是指被保险人感染上人类免疫缺陷病毒（HIV）并且符合下列所有条件：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被保险人因治疗必需而接受输血，并且因输血而感染人类免疫缺陷病毒（HIV）；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提供输血治疗的输血中心或医院出具该项输血感染属医疗责任事故的报告，或者法院终 审裁定为医疗责任并且不准上诉；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提供输血治疗的输血中心或医院必须拥有合法经营执照；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4. 受感染的被保险人不是血友病患者。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在任何治愈艾滋病或阻止人类免疫缺陷病毒（HIV）病毒作用的疗法被发现以后，或能防 止艾滋病发生的医疗方法被研究出来以后，本保障将不再予以赔付。 保险公司必须拥有获得使用被保险人的所有血液样本的权利和能够对这些样本进行独立检 验的权利。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本公司承担本项疾病责任不受本合同责任免除中“被保险人感染艾滋病病毒或患艾滋病” 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100 因职业关系导 致的 HIV 感染</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被保险人在其常规职业工作过程中遭遇外伤，或职业需要处理血液或其它体液时感染上人 类免疫缺陷病毒（HIV）。必须满足下列全部条件：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感染必须是在被保险人正在从事其职业工作中发生，该职业必须属于下列限定职业范围 内的职业；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血清转化必须出现在事故发生后的 6 个月以内；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必须提供被保险人在所报事故后发生的 5 天以内进行的检查报告，该报告必须显示被保 险人血液人类免疫缺陷病毒（HIV）阴性和/或人类免疫缺陷病毒（HIV）抗体阴性； 4. 必须在事故发生后的 12 个月内证实被保险人体内存在人类免疫缺陷病毒（HIV）或人类 免疫缺陷病毒（HIV）抗体。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限定职业： 医生和牙科医生、护士、医院化验室工作人员、医院护工、医生助理和牙医助理、救护车 工作人员、助产士、消防队员、警察、狱警。 在任何治愈艾滋病或阻止人类免疫缺陷病毒（HIV）病毒作用的疗法被发现以后，或能防 止艾滋病发生的医疗方法被研究出来以后，本保障将不再予以赔付。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本公司承担本项疾病责任不受本合同责任免除中“被保险人感染艾滋病病毒或患艾滋病” 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sz w:val="22"/>
                <w:szCs w:val="22"/>
              </w:rPr>
            </w:pPr>
            <w:r>
              <w:rPr>
                <w:rFonts w:hint="eastAsia" w:ascii="黑体" w:hAnsi="黑体" w:eastAsia="黑体" w:cs="黑体"/>
                <w:sz w:val="22"/>
                <w:szCs w:val="22"/>
                <w:lang w:val="en-US" w:eastAsia="zh-CN"/>
              </w:rPr>
              <w:t>101</w:t>
            </w:r>
            <w:r>
              <w:rPr>
                <w:rFonts w:hint="eastAsia" w:ascii="黑体" w:hAnsi="黑体" w:eastAsia="黑体" w:cs="黑体"/>
                <w:sz w:val="22"/>
                <w:szCs w:val="22"/>
              </w:rPr>
              <w:t>严重骨髓异常增生综合征</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严重骨髓异常增生综合征是指符合世界卫生组织（WHO）2008年分型方案中的难治性贫血细胞减少伴原始细胞增多-1（RAEB-1）、难治性贫血细胞减少伴原始细胞增多-2（RAEB-2）、MDS-未分类（MDS-U）、MDS 伴单纯5q-，且需满足下列所有条件： 1.由我们认可的医院中设有专门血液病专科的公立三级甲等医院，血液病专科的 主治级别以上的医师确诊； 2.骨髓穿刺或骨髓活检结果支持诊断； 3.被保险人已持续接受一个月以上的化疗或已接受骨髓移植治疗。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tcPr>
          <w:p>
            <w:pPr>
              <w:widowControl/>
              <w:jc w:val="left"/>
              <w:rPr>
                <w:rFonts w:hint="eastAsia" w:ascii="黑体" w:hAnsi="黑体" w:eastAsia="黑体" w:cs="黑体"/>
                <w:sz w:val="22"/>
                <w:szCs w:val="22"/>
              </w:rPr>
            </w:pPr>
            <w:r>
              <w:rPr>
                <w:rFonts w:hint="eastAsia" w:ascii="黑体" w:hAnsi="黑体" w:eastAsia="黑体" w:cs="黑体"/>
                <w:sz w:val="22"/>
                <w:szCs w:val="22"/>
                <w:lang w:val="en-US" w:eastAsia="zh-CN"/>
              </w:rPr>
              <w:t>102</w:t>
            </w:r>
            <w:r>
              <w:rPr>
                <w:rFonts w:hint="eastAsia" w:ascii="黑体" w:hAnsi="黑体" w:eastAsia="黑体" w:cs="黑体"/>
                <w:sz w:val="22"/>
                <w:szCs w:val="22"/>
              </w:rPr>
              <w:t>自体造血干细胞移植术</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为治疗造血功能损害或造血系统恶性肿瘤，已经实施了造血干细胞（包括骨髓造血干细胞、外周血造血干细胞和脐血造血干细胞）的自体移植手术。 该治疗须由专科医生认为在临床上是必需的。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sz w:val="22"/>
                <w:szCs w:val="22"/>
              </w:rPr>
            </w:pPr>
            <w:r>
              <w:rPr>
                <w:rFonts w:hint="eastAsia" w:ascii="黑体" w:hAnsi="黑体" w:eastAsia="黑体" w:cs="黑体"/>
                <w:sz w:val="22"/>
                <w:szCs w:val="22"/>
                <w:lang w:val="en-US" w:eastAsia="zh-CN"/>
              </w:rPr>
              <w:t>103</w:t>
            </w:r>
            <w:r>
              <w:rPr>
                <w:rFonts w:hint="eastAsia" w:ascii="黑体" w:hAnsi="黑体" w:eastAsia="黑体" w:cs="黑体"/>
                <w:sz w:val="22"/>
                <w:szCs w:val="22"/>
              </w:rPr>
              <w:t>脊髓灰质炎</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是由于脊髓灰质炎病毒感染所致的瘫痪性疾病，临床表现为运动功能损害或呼吸无力。脊髓灰质炎必须明确诊断。本合同仅对脊髓灰质炎造成的神经系统功能损害导致被保险人一肢或一肢以上肢体机能永久完全丧失的情况予以理赔。 肢体机能永久完全丧失，指疾病确诊180天后或意外伤害发生180天后，每肢三大关节中的两大关节仍然完全僵硬，或不能随意识活动。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sz w:val="22"/>
                <w:szCs w:val="22"/>
              </w:rPr>
            </w:pPr>
            <w:r>
              <w:rPr>
                <w:rFonts w:hint="eastAsia" w:ascii="黑体" w:hAnsi="黑体" w:eastAsia="黑体" w:cs="黑体"/>
                <w:sz w:val="22"/>
                <w:szCs w:val="22"/>
                <w:lang w:val="en-US" w:eastAsia="zh-CN"/>
              </w:rPr>
              <w:t>104</w:t>
            </w:r>
            <w:r>
              <w:rPr>
                <w:rFonts w:hint="eastAsia" w:ascii="黑体" w:hAnsi="黑体" w:eastAsia="黑体" w:cs="黑体"/>
                <w:sz w:val="22"/>
                <w:szCs w:val="22"/>
              </w:rPr>
              <w:t>独立能力丧失</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指疾病或外伤造成被保险人至少持续6个月以上完全无法独立完成六项基本日常生活活动中的三项或三项以上。被保险人的日常生活活动能力丧失必须是永久性的。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sz w:val="22"/>
                <w:szCs w:val="22"/>
              </w:rPr>
            </w:pPr>
            <w:r>
              <w:rPr>
                <w:rFonts w:hint="eastAsia" w:ascii="黑体" w:hAnsi="黑体" w:eastAsia="黑体" w:cs="黑体"/>
                <w:sz w:val="22"/>
                <w:szCs w:val="22"/>
                <w:lang w:val="en-US" w:eastAsia="zh-CN"/>
              </w:rPr>
              <w:t>105</w:t>
            </w:r>
            <w:r>
              <w:rPr>
                <w:rFonts w:hint="eastAsia" w:ascii="黑体" w:hAnsi="黑体" w:eastAsia="黑体" w:cs="黑体"/>
                <w:sz w:val="22"/>
                <w:szCs w:val="22"/>
              </w:rPr>
              <w:t>肌萎缩脊髓侧索硬化后遗症</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以肌肉无力及萎缩为特征，并有以下情况作为证明：脊髓前角细胞功能失调、可见的肌肉颤动、痉挛、过度活跃之深层肌腱反射和外部足底反射、影响皮质脊髓束、构音障碍及吞咽困难。必须由我们认可的医院专科医生以适当的神经肌肉检查如肌电图（EMG）证实。本疾病必须导致严重的生理功能损坏（由被保险人永久性无法独立完成最少 3 项基本日常生活活动作为证明）。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widowControl/>
              <w:jc w:val="left"/>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106血管性痴呆</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指由缺血性卒中、出血性卒中和造成记忆、认知和行为等脑区低灌注的脑血管疾病所致的严重认知功能障碍综合征。被保险人自主生活能力完全丧失，无法独立完成六项基本日常生活活动中的三项或三项以上，日常生活必须持续受到他人监护。导致痴呆的疾病必须明确诊断，并且有完整的临床、实验室和影像学检查结果证实。 神经官能症，精神疾病及酒精中毒所致脑损害不在保障范围内。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tcPr>
          <w:p>
            <w:pPr>
              <w:widowControl/>
              <w:jc w:val="left"/>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107湿性年龄相关性黄斑变性</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又称为新生血管性年龄相关性黄斑变性或“渗出性”年龄相关性黄斑变性，发生脉络膜新生血管（CNV）异常生长穿透玻璃膜进入视网膜，新生血管渗漏，渗出及出血。该病必须由荧光素眼底血管造影检查提示黄斑区新生血管形成，并且必须由医院的眼科专科医生确诊为湿性年龄相关性黄斑变性。 被保险人申请理赔时须提供近3个月内视力改变显示病情恶化的相关检查报告、诊断证明及病历报告。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tcPr>
          <w:p>
            <w:pPr>
              <w:widowControl/>
              <w:jc w:val="left"/>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108严重癫痫</w:t>
            </w:r>
          </w:p>
        </w:tc>
        <w:tc>
          <w:tcPr>
            <w:tcW w:w="7403" w:type="dxa"/>
          </w:tcPr>
          <w:p>
            <w:pPr>
              <w:widowControl/>
              <w:jc w:val="left"/>
              <w:rPr>
                <w:rFonts w:hint="eastAsia" w:ascii="黑体" w:hAnsi="黑体" w:eastAsia="黑体" w:cs="黑体"/>
                <w:sz w:val="22"/>
                <w:szCs w:val="22"/>
              </w:rPr>
            </w:pPr>
            <w:r>
              <w:rPr>
                <w:rFonts w:hint="eastAsia" w:ascii="黑体" w:hAnsi="黑体" w:eastAsia="黑体" w:cs="黑体"/>
                <w:sz w:val="22"/>
                <w:szCs w:val="22"/>
              </w:rPr>
              <w:t>本病的诊断须由神经科或儿科专科医生根据典型临床症状和脑电图及MRI、PET、CT等影相学检查做出。理赔时必须提供6个月以上的相关病历记录证明被保险人存在经抗癫痫药物治疗无效而反复发作的强直阵挛性发作或癫痫大发作，且已行神经外科手术以治疗反复发作的癫痫。 发热性惊厥以及没有全身性发作的失神发作（癫痫小发作）不在本保障范围内。</w:t>
            </w:r>
          </w:p>
        </w:tc>
      </w:tr>
    </w:tbl>
    <w:p>
      <w:pPr>
        <w:widowControl/>
        <w:jc w:val="left"/>
        <w:rPr>
          <w:rFonts w:ascii="华文中宋" w:hAnsi="华文中宋" w:eastAsia="华文中宋"/>
          <w:b/>
          <w:sz w:val="24"/>
          <w:szCs w:val="24"/>
        </w:rPr>
      </w:pPr>
    </w:p>
    <w:p>
      <w:pPr>
        <w:spacing w:line="340" w:lineRule="exact"/>
        <w:rPr>
          <w:rFonts w:ascii="华文中宋" w:hAnsi="华文中宋" w:eastAsia="华文中宋"/>
          <w:b/>
          <w:sz w:val="24"/>
          <w:szCs w:val="24"/>
        </w:rPr>
      </w:pPr>
      <w:r>
        <w:rPr>
          <w:rFonts w:hint="eastAsia" w:ascii="华文中宋" w:hAnsi="华文中宋" w:eastAsia="华文中宋"/>
          <w:b/>
          <w:sz w:val="24"/>
          <w:szCs w:val="24"/>
        </w:rPr>
        <w:t>二、</w:t>
      </w:r>
      <w:r>
        <w:rPr>
          <w:rFonts w:ascii="华文中宋" w:hAnsi="华文中宋" w:eastAsia="华文中宋"/>
          <w:b/>
          <w:sz w:val="24"/>
          <w:szCs w:val="24"/>
        </w:rPr>
        <w:t>轻症疾病</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6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 恶性肿瘤— —轻度</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指恶性细胞不受控制的进行性增长和扩散，浸润和破坏周围正常组织，可以经血管、淋巴 管和体腔扩散转移到身体其他部位，病灶经组织病理学检查（涵盖骨髓病理学检查）结果 明确诊断，临床诊断属于世界卫生组织（WHO，World Health Organization）《疾病和有关 健康问题的国际统计分类》第十次修订版（ICD-10）的恶性肿瘤类别及《国际疾病分类肿 瘤学专辑》第三版（ICD-0-3）的肿瘤形态学编码属于 3、6、9（恶性肿瘤）范畴，但不在 “恶性肿瘤——重度”保障范围的疾病。且特指下列六项之一：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TNM 分期为Ⅰ期的甲状腺癌；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TNM 分期为 T1N0M0期的前列腺癌；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黑色素瘤以外的未发生淋巴结和远处转移的皮肤恶性肿瘤；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4. 相当于 Binet 分期方案 A 期程度的慢性淋巴细胞白血病；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5. 相当于 Ann Arbor 分期方案Ⅰ期程度的何杰金氏病；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6. 未发生淋巴结和远处转移且 WHO 分级为 G1 级别（核分裂像&lt;10/50 HPF 和 ki-67≤2%） 的神经内分泌肿瘤。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下列疾病不属于“恶性肿瘤——轻度”，不在保障范围内：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ICD-0-3 肿瘤形态学编码属于 0（良性肿瘤）、1（动态未定性肿瘤）、2（原位癌和非侵袭 性癌）范畴的疾病，如：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a.原位癌，癌前病变，非浸润性癌，非侵袭性癌，肿瘤细胞未侵犯基底层，上皮内瘤变， 细胞不典型性增生等； </w:t>
            </w:r>
          </w:p>
          <w:p>
            <w:pPr>
              <w:widowControl/>
              <w:jc w:val="left"/>
              <w:rPr>
                <w:rFonts w:hint="eastAsia" w:ascii="黑体" w:hAnsi="黑体" w:eastAsia="黑体" w:cs="黑体"/>
                <w:b/>
                <w:sz w:val="22"/>
                <w:szCs w:val="22"/>
              </w:rPr>
            </w:pPr>
            <w:r>
              <w:rPr>
                <w:rFonts w:hint="eastAsia" w:ascii="黑体" w:hAnsi="黑体" w:eastAsia="黑体" w:cs="黑体"/>
                <w:sz w:val="22"/>
                <w:szCs w:val="22"/>
              </w:rPr>
              <w:t>b.交界性肿瘤，交界恶性肿瘤，肿瘤低度恶性潜能，潜在低度恶性肿瘤等。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 较轻急性心 肌梗死</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急性心肌梗死指由于冠状动脉闭塞或梗阻引起部分心肌严重的持久性缺血造成急性心肌坏 死。急性心肌梗死的诊断必须依据国际国内诊断标准，符合：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检测到肌酸激酶同工酶（CK-MB）或肌钙蛋白（cTn）升高和/或降低的动态变化，至少 一次达到或超过心肌梗死的临床诊断标准；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同时存在下列之一的证据，包括：缺血性胸痛症状、新发生的缺血性心电图改变、新生 成的病理性 Q 波、影像学证据显示有新出现的心肌活性丧失或新出现局部室壁运动异常、 冠脉造影证实存在冠状动脉血栓。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较轻急性心肌梗死指依照上述标准被明确诊断为急性心肌梗死，但未达到“较重急性心肌 梗死”的给付标准。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其他非冠状动脉阻塞性疾病引起的肌钙蛋白（cTn）升高不在保障范围内。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本公司对“冠状动脉介入手术”、“较轻急性心肌梗死”和“激光心肌血运重建术”三项 中的其中一项承担保险责任，给付其中一项保险金后，对其他二项轻症疾病保险责任同时 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3 轻度脑中风 后遗症</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指因脑血管的突发病变引起脑血管出血、栓塞或梗塞，须由头颅断层扫描（CT）、核磁共 振检查（MRI）等影像学检查证实，并导致神经系统永久性的功能障碍，但未达到“严重 脑中风后遗症”的给付标准，在疾病确诊 180 天后，仍遗留下列至少一种障碍：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一肢（含）以上肢体肌力为 3 级； </w:t>
            </w:r>
          </w:p>
          <w:p>
            <w:pPr>
              <w:widowControl/>
              <w:jc w:val="left"/>
              <w:rPr>
                <w:rFonts w:hint="eastAsia" w:ascii="黑体" w:hAnsi="黑体" w:eastAsia="黑体" w:cs="黑体"/>
                <w:b/>
                <w:sz w:val="22"/>
                <w:szCs w:val="22"/>
              </w:rPr>
            </w:pPr>
            <w:r>
              <w:rPr>
                <w:rFonts w:hint="eastAsia" w:ascii="黑体" w:hAnsi="黑体" w:eastAsia="黑体" w:cs="黑体"/>
                <w:sz w:val="22"/>
                <w:szCs w:val="22"/>
              </w:rPr>
              <w:t>2. 自主生活能力部分丧失，无法独立完成六项基本日常生活活动中的两项。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4 激光心肌血 运重建术</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指患有顽固性心绞痛，经持续药物治疗后无改善，冠状动脉搭桥手术及经皮血管成形手术 已失败或者被认为不适合。在本公司认可医院内实际进行了开胸手术下或者胸腔镜下的激 光心肌血运重建术。并且未达到本合同所指重大疾病“较重急性心肌梗死”的给付标准。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本公司对“冠状动脉介入手术”、“较轻急性心肌梗死”和“激光心肌血运重建术”三项 中的其中一项承担保险责任，给付其中一项保险金后，对其他二项轻症疾病保险责任同时 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5 单个肢体缺 失</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指一个肢体自腕关节或踝关节近端（靠近躯干端）以上完全性断离，但未达到本合同所指 重大疾病“多个肢体缺失”的给付标准。因“糖尿病导致单足截除”导致的单个肢体缺失 不在本项保障范围内。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6 病毒性肝炎 导致的肝硬 化</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因肝炎病毒感染的肝脏慢性炎症并发展为肝硬化，且未达到本合同所指重大疾病“严重慢 性肝衰竭”的给付标准。理赔时须满足下列全部条件：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被保险人有感染慢性肝炎病毒的血清学及实验室检查报告等临床证据；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必须由相关专科医生基于肝脏组织病理学检查报告、临床表现及病史对肝炎病毒感染导 致肝硬化作出明确诊断；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病理学检查报告证明肝脏病变按 Metavir 分级表中属 F4 阶段或 Knodell 肝纤维化标准达 到 4 分。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由酒精或药物滥用而引起的本疾病不在保障范围内。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本公司对“病毒性肝炎导致的肝硬化”和“慢性肝功能衰竭”两项中的其中一项承担保险 责任，给付其中一项保险金后，对另一项轻症疾病保险责任同时终止。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7 脑垂体瘤、 脑囊肿、脑 动脉瘤及脑 血管瘤</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指经头颅断层扫描（CT）、核磁共振检查（MRI）或者其他影像学检查被确诊为下列病 变，并实际接受了手术或者放射治疗，且未达到本合同重大疾病“颅脑手术”的给付标 准：</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（1）脑垂体瘤；（2）脑囊肿；（3）脑动脉瘤、脑血管瘤。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本公司对“微创颅脑手术”和“脑垂体瘤、脑囊肿、脑动脉瘤及脑血管瘤”两项中的其中 一项承担保险责任，给付其中一项保险金后，对另一项轻症疾病保险责任同时终止。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8 中度进行性 核上性麻痹</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指一种少见的神经系统变性疾病，以假球麻痹、垂直性核上性眼肌麻痹、锥体外系肌僵 直、步态共济失调和轻度痴呆为主要临床特征。须满足自主生活能力严重丧失，无法独立 完成六项基本日常生活活动中的两项。但未达到重大疾病“进行性核上性麻痹”或“瘫 痪”的标准。本病须经相关专科医生明确诊断。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9 轻度坏死性 筋膜炎</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是一种由细菌侵入皮下组织和筋膜引起的急性坏死性软组织感染，可伴有毒血症、败血 症、中毒性休克、弥漫性血管内凝血及多器官衰竭。但未到重大疾病“重症急性坏死性筋 膜炎”的标准。本病须经相关专科医生明确诊断。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10 中度感染性 心内膜炎</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指因感染性微生物造成心脏内膜炎症，并且累及心脏瓣膜，导致心脏瓣膜病变,且未达到 重大疾病“感染性心内膜炎”或“心脏瓣膜手术”的给付标准。必须满足下列条件：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急性或亚急性感染性心内膜炎的临床表现,和心内膜炎引起轻度心瓣膜关闭不全或轻度 心瓣膜狭窄；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血液培养测试结果为阳性，证实存在感染性微生物。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本公司对“中度感染性心内膜炎”和“心脏瓣膜介入手术”两项中的其中一项承担保险责 任，给付其中一项保险金后，对另一项疾病保险责任同时终止。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11 角膜移植</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指为增进视力或治疗某些角膜疾患，已经实施了异体的角膜移植手术。此手术必须在相关 专科医生认为是医疗必须的情况下进行。 本公司对“视力严重受损——3 周岁始理赔”、“单目失明——3 周岁始理赔”和“角膜移 植”三项中的其中一项承担保险责任，给付其中一项保险金后，对其它两项轻症疾病保险 责任同时终止。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12 单目失明— —3 周岁始理 赔</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指因疾病或意外伤害导致单眼视力永久不可逆性丧失，但未达到本合同所指重大疾病“双 目失明”的给付标准，但患眼须满足下列至少一项条件：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眼球缺失或摘除；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矫正视力低于 0.02（采用国际标准视力表，如果使用其它视力表应进行换算）；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视野半径小于 5 度。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诊断须由相关专科医生确认，并且提供理赔当时的视力丧失诊断及检查证据。被保险人申 请理赔时年龄必须在 3 周岁以上，并且提供视力丧失诊断及检查证据。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本公司对“视力严重受损——3 周岁始理赔”、“单目失明——3 周岁始理赔”和“角膜移 植”三项中的其中一项承担保险责任，给付其中一项保险金后，对其它两项轻症疾病保险 责任同时终止。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13 严重甲型及 乙型血友病</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被保险人必须是患上严重甲型血友病（缺乏 VIII 凝血因子）或严重乙型血友病（缺乏 IX 凝血因子），而凝血因子 VIII 或凝血因子 IX 的活性水平少于百分之一。诊断必须由相关 专科医生确认。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本公司承担本项疾病责任不受本合同责任免除中“遗传性疾病，先天性畸形、变形或染色 体异常”的限制。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14 主动脉内手 术（非开胸 或开腹手 术）</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为了治疗主动脉疾病实际实施了经皮经导管进行的主动脉内手术，且未达到本合同约定的 重大疾病“主动脉手术”的给付标准。</w:t>
            </w:r>
          </w:p>
          <w:p>
            <w:pPr>
              <w:widowControl/>
              <w:jc w:val="left"/>
              <w:rPr>
                <w:rFonts w:hint="eastAsia" w:ascii="黑体" w:hAnsi="黑体" w:eastAsia="黑体" w:cs="黑体"/>
                <w:b/>
                <w:sz w:val="22"/>
                <w:szCs w:val="22"/>
              </w:rPr>
            </w:pPr>
            <w:r>
              <w:rPr>
                <w:rFonts w:hint="eastAsia" w:ascii="黑体" w:hAnsi="黑体" w:eastAsia="黑体" w:cs="黑体"/>
                <w:sz w:val="22"/>
                <w:szCs w:val="22"/>
              </w:rPr>
              <w:t>主动脉指升主动脉、主动脉弓和降主动脉（含胸主 动脉和腹主动脉），不包括升主动脉、主动脉弓和降主动脉的分支血管。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15 糖尿病导致 单足截除</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因糖尿病引起的神经及血管病变累及足部，为了维持生命在本公司认可医院内已经进行了 医疗必须的由足踝或以上位置的单足截除手术，且未达到本合同约定的重大疾病“严重 I 型糖尿病”的给付标准。切除多只脚趾或因任何其他原因引起的截除术不在保障范围内。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16 植入心脏起 搏器</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因严重心律失常而确实已经实施永久性心脏起搏器的植入手术。理赔时须提供完整病历资 料及手术记录，诊断及治疗均须在相关专科医生认为是医疗必须的情况下进行。因“严重 I 型糖尿病”、“Ⅲ度房室传导阻滞”需植入心脏起搏器的情况，不在本病种赔付范围 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17 轻度面部烧 伤</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指烧伤程度为Ⅲ度，且Ⅲ度烧伤的面积达到面部表面积的 30％或者 30％以上，但未达到面 部表面积的 80%。 本公司对“轻度面部烧伤”、“全身较小面积Ⅲ度烧伤”两项中的一项承担保险责任，给 付其中一项保险金后，对另一项轻症疾病保险责任同时终止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18 面部重建手 术</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因疾病或意外伤害导致面部毁容，确实进行整形或者重建手术（颈部以上的面部构造不完 整、缺失或者受损而对其形态及外观进行修复或者重建），同时必须由相关专科医生认为 该面部毁容是需要接受住院治疗，及其后接受该手术，而对该面部毁容所进行的治疗亦是 医疗所需。因纯粹整容原因、独立的牙齿修复、独立的鼻骨骨折或者独立的皮肤伤口所进 行的手术均不受此保障。被保险人达到条款约定的“轻度面部烧伤”轻症赔付责任，且因 此需行“面部重建手术”，则不在此保障范围内。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19 因肾上腺皮 脂腺瘤切除 肾上腺</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因肾上腺皮质腺瘤所导致的醛固酮分泌过多而产生的继发性恶性高血压而实际接受了肾上 腺切除术治疗。诊断及治疗均须由相关专科医生认为是医疗必须的情况下进行。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20 微创颅脑手 术</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被保险人因疾病确已实施全麻下的颅骨钻孔手术或者经鼻蝶窦入颅手术。因外伤而实施的 脑外科手术不在保障范围内。 本公司对“微创颅脑手术”和“脑垂体瘤、脑囊肿、脑动脉瘤及脑血管瘤”两项中的其中 一项承担保险责任，给付其中一项保险金后，对另一项轻症疾病保险责任同时终止。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21 特定的系统 性红斑狼疮</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指诊断为系统性红斑狼疮，且满足下列全部条件，并且未达到本合同所指重大疾病“系统 性红斑狼疮－（并发）Ⅲ型或以上狼疮性肾炎”或“严重慢性肾衰竭”的标准：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在下列五项情况中出现最少两项：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（1）关节炎：非磨损性关节炎，需涉及两个或两个以上关节；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（2）浆膜炎：胸膜炎或心包炎；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（3）肾病：24 小时尿蛋白定量达到 0.5 克，或尿液检查出现细胞管型；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（4）血液学异常：溶血性贫血、白细胞减少、或血小板减少；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（5）抗核抗体阳性、或抗 dsDNA 阳性，或抗 Smith 抗体阳性。 </w:t>
            </w:r>
          </w:p>
          <w:p>
            <w:pPr>
              <w:widowControl/>
              <w:jc w:val="left"/>
              <w:rPr>
                <w:rFonts w:hint="eastAsia" w:ascii="黑体" w:hAnsi="黑体" w:eastAsia="黑体" w:cs="黑体"/>
                <w:b/>
                <w:sz w:val="22"/>
                <w:szCs w:val="22"/>
              </w:rPr>
            </w:pPr>
            <w:r>
              <w:rPr>
                <w:rFonts w:hint="eastAsia" w:ascii="黑体" w:hAnsi="黑体" w:eastAsia="黑体" w:cs="黑体"/>
                <w:sz w:val="22"/>
                <w:szCs w:val="22"/>
              </w:rPr>
              <w:t>2. 系统性红斑狼疮的诊断必须由相关专科医生确定。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22 视力严重受 损——3 周岁 始理赔</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指因疾病或者意外伤害导致双眼视力永久不可逆性丧失，且未达到本合同所指重大疾病 “双目失明”的给付标准，但满足下列条件之一： 1. 双眼中较好眼矫正视力低于 0.1（采用国际标准视力表，如果使用其他视力表应进行换 算）； 2. 双眼中较好眼视野半径小于 20 度。 被保险人申请理赔时年龄必须在 3 周岁以上，并且提供视力丧失诊断及检查证据。 本公司对“视力严重受损—3 周岁始理赔”、“单目失明—3 周岁始理赔”和“角膜移植” 三项中的其中一项承担保险责任，给付其中一项保险金后，对其它两项轻症疾病保险责任 同时终止。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23 慢性肝功能 衰竭</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指因慢性肝脏疾病导致肝功能衰竭，且未达到本合同所指重大疾病“严重慢性肝衰竭”的 给付标准。须满足下列任意三个条件：</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持续性黄疸；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腹水；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肝性脑病；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4. 充血性脾肿大伴脾功能亢进或食管胃底静脉曲张。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因酗酒或药物滥用导致的肝功能衰竭不在保障范围内。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本公司对“病毒性肝炎导致的肝硬化”和“慢性肝功能衰竭”两项中的其中一项承担保险 责任，给付其中一项保险金后，对另一项轻症疾病保险责任同时终止。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24 中度肠道并 发症</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严重肠道疾病或外伤导致小肠损害并发症，且未达到本合同所指重大疾病“严重肠道疾病 并发症”的给付标准。</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本疾病须满足以下所有条件：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至少切除了二分之一小肠；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完全肠外营养支持二个月以上。 </w:t>
            </w:r>
          </w:p>
          <w:p>
            <w:pPr>
              <w:widowControl/>
              <w:jc w:val="left"/>
              <w:rPr>
                <w:rFonts w:hint="eastAsia" w:ascii="黑体" w:hAnsi="黑体" w:eastAsia="黑体" w:cs="黑体"/>
                <w:b/>
                <w:sz w:val="22"/>
                <w:szCs w:val="22"/>
              </w:rPr>
            </w:pPr>
            <w:r>
              <w:rPr>
                <w:rFonts w:hint="eastAsia" w:ascii="黑体" w:hAnsi="黑体" w:eastAsia="黑体" w:cs="黑体"/>
                <w:sz w:val="22"/>
                <w:szCs w:val="22"/>
              </w:rPr>
              <w:t>被保险人已达到本合同所指的重大疾病“严重肠道疾病并发症”标准的，本公司不承担本 项轻症疾病保险责任。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25 中度阿尔茨 海默病</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指因大脑进行性、不可逆性改变导致智能严重衰退或丧失，临床表现为明显的认知能力障 碍、行为异常和社交能力减退，其日常生活必须持续受到他人监护。须由头颅断层扫描 (CT)、核磁共振检查（MRI）或正电子发射断层扫描（PET）等影像学检查证实，并且自 主生活能力严重丧失，经鉴定无法独立完成六项基本日常生活活动中的两项，但未达到本 合同所指重大疾病“严重阿尔茨海默病”或“瘫痪”的给付标准。以下情况不在保障范围 内： </w:t>
            </w:r>
          </w:p>
          <w:p>
            <w:pPr>
              <w:widowControl/>
              <w:jc w:val="left"/>
              <w:rPr>
                <w:rFonts w:hint="eastAsia" w:ascii="黑体" w:hAnsi="黑体" w:eastAsia="黑体" w:cs="黑体"/>
                <w:sz w:val="22"/>
                <w:szCs w:val="22"/>
              </w:rPr>
            </w:pPr>
            <w:r>
              <w:rPr>
                <w:rFonts w:hint="eastAsia" w:ascii="黑体" w:hAnsi="黑体" w:eastAsia="黑体" w:cs="黑体"/>
                <w:sz w:val="22"/>
                <w:szCs w:val="22"/>
              </w:rPr>
              <w:t>1. 存在酒精滥用、药物滥用或获得性免疫缺陷综合征（AIDS）情况下的痴呆；</w:t>
            </w:r>
          </w:p>
          <w:p>
            <w:pPr>
              <w:widowControl/>
              <w:jc w:val="left"/>
              <w:rPr>
                <w:rFonts w:hint="eastAsia" w:ascii="黑体" w:hAnsi="黑体" w:eastAsia="黑体" w:cs="黑体"/>
                <w:b/>
                <w:sz w:val="22"/>
                <w:szCs w:val="22"/>
              </w:rPr>
            </w:pPr>
            <w:r>
              <w:rPr>
                <w:rFonts w:hint="eastAsia" w:ascii="黑体" w:hAnsi="黑体" w:eastAsia="黑体" w:cs="黑体"/>
                <w:sz w:val="22"/>
                <w:szCs w:val="22"/>
              </w:rPr>
              <w:t>2. 神经官能症和精神疾病。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26 中度原发性 帕金森氏病</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是一种中枢神经系统的退行性疾病，临床表现为震颤麻痹、共济失调等。须同时符合下列 所有条件，且未达到本合同所指重大疾病“严重原发性帕金森病”或“瘫痪”的给付标 准：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无法通过药物控制；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出现逐步退化客观征状；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经鉴定至少持续 180 天无法独立完成六项基本日常生活活动中的二项。 </w:t>
            </w:r>
          </w:p>
          <w:p>
            <w:pPr>
              <w:widowControl/>
              <w:jc w:val="left"/>
              <w:rPr>
                <w:rFonts w:hint="eastAsia" w:ascii="黑体" w:hAnsi="黑体" w:eastAsia="黑体" w:cs="黑体"/>
                <w:b/>
                <w:sz w:val="22"/>
                <w:szCs w:val="22"/>
              </w:rPr>
            </w:pPr>
            <w:r>
              <w:rPr>
                <w:rFonts w:hint="eastAsia" w:ascii="黑体" w:hAnsi="黑体" w:eastAsia="黑体" w:cs="黑体"/>
                <w:sz w:val="22"/>
                <w:szCs w:val="22"/>
              </w:rPr>
              <w:t>继发性帕金森综合征、帕金森叠加综合征不在保障范围内。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27 全身较小面 积Ⅲ度烧伤</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指烧伤程度为Ⅲ度，且Ⅲ度烧伤面积为全身体表面积的 10%或者 10%以上，但尚未达到 20%。体表面积根据《中国新九分法》计算。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本公司对“轻度面部烧伤”、“全身较小面积Ⅲ度烧伤”两项中的一项承担保险责任，给 付其中一项保险金后，对另一项轻症疾病保险责任同时终止。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28 冠状动脉介 入手术</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为了治疗明显的冠状动脉狭窄性疾病，首次实际实施了冠状动脉球囊扩张成形术、冠状动 脉支架植入术、冠状动脉粥肿斑块切除术或者激光冠状动脉成形术。 本公司对“冠状动脉介入手术”、“较轻急性心肌梗死”和“激光心肌血运重建术”三项 中的其中一项承担保险责任，给付其中一项保险金后，对其他项轻症疾病保险责任同时终 止。 </w:t>
            </w:r>
          </w:p>
          <w:p>
            <w:pPr>
              <w:widowControl/>
              <w:jc w:val="left"/>
              <w:rPr>
                <w:rFonts w:hint="eastAsia" w:ascii="黑体" w:hAnsi="黑体" w:eastAsia="黑体" w:cs="黑体"/>
                <w:b/>
                <w:sz w:val="22"/>
                <w:szCs w:val="22"/>
              </w:rPr>
            </w:pPr>
            <w:r>
              <w:rPr>
                <w:rFonts w:hint="eastAsia" w:ascii="黑体" w:hAnsi="黑体" w:eastAsia="黑体" w:cs="黑体"/>
                <w:sz w:val="22"/>
                <w:szCs w:val="22"/>
              </w:rPr>
              <w:t>被保险人已经达到本条款“较重急性心肌梗死”标准的，则不在冠状动脉介入手术的保障 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29 腔静脉过滤 器植入术</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指为治疗反复肺栓塞发作，抗凝血疗法无效，已经实施了腔静脉过滤器植入术。手术必须 在相关专科医生认为是医学上必需的情况下进行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30 早期象皮病</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指因丝虫感染导致淋巴管阻塞而造成身体组织出现严重淋巴水肿，但未达到本合同所指重 大疾病“丝虫病所致象皮肿”的给付标准，需达到国际淋巴学会分级为 2 级淋巴液肿，其 临床表现为肿胀为凹陷性，肢体抬高休息时肿胀不消失，有中度纤维化。此病症须经相关 专科医生根据临床表现和微丝蚴的化验结果确诊。由性接触传染的疾病、创伤、手术后疤 痕、充血性心力衰竭或先天性淋巴系统异常引起的淋巴水肿，以及急性淋巴管炎或其他原 因引起的淋巴水肿不在保障范围内。</w:t>
            </w:r>
          </w:p>
        </w:tc>
      </w:tr>
    </w:tbl>
    <w:p>
      <w:pPr>
        <w:widowControl/>
        <w:jc w:val="left"/>
        <w:rPr>
          <w:rFonts w:ascii="华文中宋" w:hAnsi="华文中宋" w:eastAsia="华文中宋"/>
          <w:b/>
          <w:sz w:val="24"/>
          <w:szCs w:val="24"/>
        </w:rPr>
      </w:pPr>
    </w:p>
    <w:p>
      <w:pPr>
        <w:spacing w:line="340" w:lineRule="exact"/>
        <w:rPr>
          <w:rFonts w:ascii="华文中宋" w:hAnsi="华文中宋" w:eastAsia="华文中宋"/>
          <w:b/>
          <w:sz w:val="24"/>
          <w:szCs w:val="24"/>
        </w:rPr>
      </w:pPr>
      <w:r>
        <w:rPr>
          <w:rFonts w:hint="eastAsia" w:ascii="华文中宋" w:hAnsi="华文中宋" w:eastAsia="华文中宋"/>
          <w:b/>
          <w:sz w:val="24"/>
          <w:szCs w:val="24"/>
        </w:rPr>
        <w:t>三、</w:t>
      </w:r>
      <w:r>
        <w:rPr>
          <w:rFonts w:ascii="华文中宋" w:hAnsi="华文中宋" w:eastAsia="华文中宋"/>
          <w:b/>
          <w:sz w:val="24"/>
          <w:szCs w:val="24"/>
        </w:rPr>
        <w:t>中症疾病</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 肾脏切除</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指因疾病或意外伤害导致肾脏严重损害，已经实施了至少单侧全肾的切除手术。下列情况 不在保障范围内：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部分肾切除手术；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因恶性肿瘤进行的肾切除手术； </w:t>
            </w:r>
          </w:p>
          <w:p>
            <w:pPr>
              <w:widowControl/>
              <w:jc w:val="left"/>
              <w:rPr>
                <w:rFonts w:hint="eastAsia" w:ascii="黑体" w:hAnsi="黑体" w:eastAsia="黑体" w:cs="黑体"/>
                <w:b/>
                <w:sz w:val="22"/>
                <w:szCs w:val="22"/>
              </w:rPr>
            </w:pPr>
            <w:r>
              <w:rPr>
                <w:rFonts w:hint="eastAsia" w:ascii="黑体" w:hAnsi="黑体" w:eastAsia="黑体" w:cs="黑体"/>
                <w:sz w:val="22"/>
                <w:szCs w:val="22"/>
              </w:rPr>
              <w:t>3. 作为器官捐献者而实施的肾切除手术。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 心包膜切除 术</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指为治疗心包膜疾病，已经实施了心包膜切除术，但未达到本合同所指重大疾病“严重慢 性缩窄性心包炎”的给付标准。手术必须在相关专科医生认为是医学上必需的情况下进 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3 肝叶切除</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指因疾病或意外伤害导致肝脏严重损害，已经实施了肝左叶切除手术或肝右叶切除手术 （备注：本定义是按肝脏的传统解剖分段法将肝脏分为肝左叶和肝右叶）。下列情况不在 保障范围内：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肝区切除、肝段切除手术；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因酒精或者滥用药物引致的疾病或者紊乱；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因恶性肿瘤进行的肝切除手术； </w:t>
            </w:r>
          </w:p>
          <w:p>
            <w:pPr>
              <w:widowControl/>
              <w:jc w:val="left"/>
              <w:rPr>
                <w:rFonts w:hint="eastAsia" w:ascii="黑体" w:hAnsi="黑体" w:eastAsia="黑体" w:cs="黑体"/>
                <w:b/>
                <w:sz w:val="22"/>
                <w:szCs w:val="22"/>
              </w:rPr>
            </w:pPr>
            <w:r>
              <w:rPr>
                <w:rFonts w:hint="eastAsia" w:ascii="黑体" w:hAnsi="黑体" w:eastAsia="黑体" w:cs="黑体"/>
                <w:sz w:val="22"/>
                <w:szCs w:val="22"/>
              </w:rPr>
              <w:t>4. 作为器官捐献者而实施的肝切除手术。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4 单侧肺脏切 除</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指因疾病或意外伤害导致肺部严重损害，已经实施了单侧全肺切除手术。下列情况不在保 障范围内： 1. 肺叶切除、肺段切除手术； 2. 因恶性肿瘤进行的肺切除手术； 3. 作为器官捐献者而实施的肺切除手术。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5 双侧睾丸切 除术</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指为治疗疾病实际接受了经腹部切开或腹腔镜进行的双侧睾丸完全切除手术。下列情况不 在保障范围内：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部分睾丸切除； </w:t>
            </w:r>
          </w:p>
          <w:p>
            <w:pPr>
              <w:widowControl/>
              <w:jc w:val="left"/>
              <w:rPr>
                <w:rFonts w:hint="eastAsia" w:ascii="黑体" w:hAnsi="黑体" w:eastAsia="黑体" w:cs="黑体"/>
                <w:b/>
                <w:sz w:val="22"/>
                <w:szCs w:val="22"/>
              </w:rPr>
            </w:pPr>
            <w:r>
              <w:rPr>
                <w:rFonts w:hint="eastAsia" w:ascii="黑体" w:hAnsi="黑体" w:eastAsia="黑体" w:cs="黑体"/>
                <w:sz w:val="22"/>
                <w:szCs w:val="22"/>
              </w:rPr>
              <w:t>2. 因恶性肿瘤进行的睾丸切除。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6 双侧卵巢切 除术</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指为治疗疾病实际接受了经腹部切开或腹腔镜进行的双侧卵巢完全切除手术。下列情况不 在保障范围内：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部分卵巢切除；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因恶性肿瘤进行的卵巢切除术； </w:t>
            </w:r>
          </w:p>
          <w:p>
            <w:pPr>
              <w:widowControl/>
              <w:jc w:val="left"/>
              <w:rPr>
                <w:rFonts w:hint="eastAsia" w:ascii="黑体" w:hAnsi="黑体" w:eastAsia="黑体" w:cs="黑体"/>
                <w:b/>
                <w:sz w:val="22"/>
                <w:szCs w:val="22"/>
              </w:rPr>
            </w:pPr>
            <w:r>
              <w:rPr>
                <w:rFonts w:hint="eastAsia" w:ascii="黑体" w:hAnsi="黑体" w:eastAsia="黑体" w:cs="黑体"/>
                <w:sz w:val="22"/>
                <w:szCs w:val="22"/>
              </w:rPr>
              <w:t>3. 预防性卵巢切除。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7 中度脑损伤</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指因头部遭受机械性外力，引起脑重要部位损伤，导致神经系统永久性的功能障碍。须由 头颅断层扫描（CT）、核磁共振检查（MRI）或正电子发射断层扫描（PET）等影像学检 查证实。神经系统永久性的功能障碍，指脑损伤 180 天后，仍完全丧失自主生活能力，经 鉴定无法独立完成六项基本日常生活活动中的两项或以上，但未达到重大疾病“严重脑损 伤”或“瘫痪”的给付标准。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8 中度运动神 经元病</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指一组中枢神经系统运动神经元的进行性变性疾病，包括进行性脊肌萎缩症、进行性延髓 麻痹症、原发性侧索硬化症、肌萎缩性侧索硬化症。须满足自主生活能力部分丧失，经鉴 定无法独立完成六项基本日常生活活动中的两项。但未达到本合同所指重大疾病“严重运 动神经元病”或“瘫痪”的给付标准。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9 中度脑炎或 脑膜炎后遗 症</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指因患脑炎或脑膜炎导致的神经系统的功能障碍。神经系统的功能障碍，指疾病确诊 180 天后，仍存在自主活动能力完全丧失，经鉴定无法独立完成六项基本日常生活活动中的两 项。若被保险人已符合本合同所指的重大疾病“严重脑炎后遗症或严重脑膜炎后遗症”或 “瘫痪”给付标准的，则不在保障范围内。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10 心脏瓣膜介 入手术</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为了治疗心脏瓣膜疾病，实际实施了经皮经导管介入手术进行的心脏瓣膜置换或者修复手 术。 本公司对“中度感染性心内膜炎”和“心脏瓣膜介入手术”两项中的其中一项承担保险责 任，给付其中一项保险金后，对另一项疾病保险责任同时终止。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11 原发性肺动 脉高压</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指由于原发性肺动脉高压进行性发展，已经造成永久不可逆性的体力活动能力受限，达到 美国纽约心脏病学会心功能状态分级 III 级及以上，但尚未达到 IV 级，且静息状态下肺动 脉平均压超过 25mmHg，但尚未超过 36mmHg。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12 早期原发性 心肌病</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被诊断为原发性心肌病，并符合下列所有条件，但未达到本合同所指重大疾病“严重心肌 病”的给付标准：</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 1. 导致心室功能受损，其受损程度达到美国纽约心脏病学会心功能状态分级Ⅲ级，或其同 等级别。</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 2. 原发性心肌病的诊断必须由相关专科医生确认，并提供心脏超声检查结果报告。 </w:t>
            </w:r>
          </w:p>
          <w:p>
            <w:pPr>
              <w:widowControl/>
              <w:jc w:val="left"/>
              <w:rPr>
                <w:rFonts w:hint="eastAsia" w:ascii="黑体" w:hAnsi="黑体" w:eastAsia="黑体" w:cs="黑体"/>
                <w:b/>
                <w:sz w:val="22"/>
                <w:szCs w:val="22"/>
              </w:rPr>
            </w:pPr>
            <w:r>
              <w:rPr>
                <w:rFonts w:hint="eastAsia" w:ascii="黑体" w:hAnsi="黑体" w:eastAsia="黑体" w:cs="黑体"/>
                <w:sz w:val="22"/>
                <w:szCs w:val="22"/>
              </w:rPr>
              <w:t>本保障范围内的心肌病仅包括扩张型心肌病、肥厚型心肌病及限制型心肌病。继发于全身 性疾病或其他器官系统疾病及酒精滥用造成的心肌病变不在保障范围内。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13 中度慢性呼 吸功能衰竭</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指因慢性呼吸系统疾病导致永久不可逆的呼吸功能衰竭，但未达到本合同所指重大疾病 “严重慢性呼吸衰竭”或“严重继发性肺动脉高压”的给付标准，且诊断必须满足以下所 有条件：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第一秒末用力呼吸量（FEV1）小于 1 升；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残气容积占肺总量（TLC）的 50%以上； </w:t>
            </w:r>
          </w:p>
          <w:p>
            <w:pPr>
              <w:widowControl/>
              <w:jc w:val="left"/>
              <w:rPr>
                <w:rFonts w:hint="eastAsia" w:ascii="黑体" w:hAnsi="黑体" w:eastAsia="黑体" w:cs="黑体"/>
                <w:b/>
                <w:sz w:val="22"/>
                <w:szCs w:val="22"/>
              </w:rPr>
            </w:pPr>
            <w:r>
              <w:rPr>
                <w:rFonts w:hint="eastAsia" w:ascii="黑体" w:hAnsi="黑体" w:eastAsia="黑体" w:cs="黑体"/>
                <w:sz w:val="22"/>
                <w:szCs w:val="22"/>
              </w:rPr>
              <w:t>3. PaO2&lt;60mmHg，但≥50mmHg。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14 特定周围动 脉疾病的血 管介入治疗</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指为治疗一条或者一条以上的下列动脉狭窄而实施的血管介入治疗：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为下肢或者上肢供血的动脉；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肾动脉；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3. 肠系膜动脉。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须满足下列全部条件： 1. 经血管造影术证实一条或者一条以上的上述动脉狭窄达到 50%或者以上； 2. 对一条或者一条以上的上述动脉施行了血管介入治疗，如血管成形术及/或者进行植入 支架或者动脉粥样瘤清除手术。 </w:t>
            </w:r>
          </w:p>
          <w:p>
            <w:pPr>
              <w:widowControl/>
              <w:jc w:val="left"/>
              <w:rPr>
                <w:rFonts w:hint="eastAsia" w:ascii="黑体" w:hAnsi="黑体" w:eastAsia="黑体" w:cs="黑体"/>
                <w:b/>
                <w:sz w:val="22"/>
                <w:szCs w:val="22"/>
              </w:rPr>
            </w:pPr>
            <w:r>
              <w:rPr>
                <w:rFonts w:hint="eastAsia" w:ascii="黑体" w:hAnsi="黑体" w:eastAsia="黑体" w:cs="黑体"/>
                <w:sz w:val="22"/>
                <w:szCs w:val="22"/>
              </w:rPr>
              <w:t>此诊断及治疗均须在相关专科医生认为是医疗必须的情况下进行。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15 于颈动脉进 行血管成形 术或内膜切 除术</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指根据颈动脉造影检查结果，确诊一条或以上颈动脉存在严重狭窄性病变（至少一支血管 管腔直径减少 50%以上）。本病须经相关专科医生明确诊断，同时必须已经采取以下手术 以减轻症状：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确实进行动脉内膜切除术； </w:t>
            </w:r>
          </w:p>
          <w:p>
            <w:pPr>
              <w:widowControl/>
              <w:jc w:val="left"/>
              <w:rPr>
                <w:rFonts w:hint="eastAsia" w:ascii="黑体" w:hAnsi="黑体" w:eastAsia="黑体" w:cs="黑体"/>
                <w:b/>
                <w:sz w:val="22"/>
                <w:szCs w:val="22"/>
              </w:rPr>
            </w:pPr>
            <w:r>
              <w:rPr>
                <w:rFonts w:hint="eastAsia" w:ascii="黑体" w:hAnsi="黑体" w:eastAsia="黑体" w:cs="黑体"/>
                <w:sz w:val="22"/>
                <w:szCs w:val="22"/>
              </w:rPr>
              <w:t>2. 确实进行血管介入治疗，例如血管成形术及/或进行植入支架手术。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16 中度类风湿 性关节炎</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根据美国风湿病学院的诊断标准，由相关专科医生明确诊断并符合下列所有理赔条件，但 未达到本合同所指重大疾病“严重类风湿性关节炎”或“严重幼年型类风湿性关节炎—— 18 周岁前理赔”的标准：表现为关节严重变形，侵犯至少两个主要关节或关节组（如：双 手（多手指）关节、双足（多足趾）关节、双腕关节、双膝关节和双髋关节）。类风湿性 关节炎必须明确诊断并且已经达到类风湿性关节炎功能分级Ⅲ级以上的功能障碍（关节活 动严重限制，不能完成大部分的日常工作和活动）。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17 中度重症肌 无力</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是一种神经与肌肉接头部位传递障碍的自身免疫性疾病，临床特征是局部或全身横纹肌于 活动时易于疲劳无力，颅神经眼外肌最易累及，也可涉及呼吸肌、下肢近端肌群以至全身 肌肉。该病必须由相关专科医生明确诊断，且疾病确诊 180 天后，仍然存在自主生活能力 部分丧失，经鉴定无法独立完成六项基本日常生活活动中的二项，但未达到本合同所指重 大疾病“全身性（型）重症肌无力”或“瘫痪”的给付标准。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18 中度肌营养 不良症</w:t>
            </w:r>
          </w:p>
        </w:tc>
        <w:tc>
          <w:tcPr>
            <w:tcW w:w="8362" w:type="dxa"/>
          </w:tcPr>
          <w:p>
            <w:pPr>
              <w:widowControl/>
              <w:jc w:val="left"/>
              <w:rPr>
                <w:rFonts w:hint="eastAsia" w:ascii="黑体" w:hAnsi="黑体" w:eastAsia="黑体" w:cs="黑体"/>
                <w:sz w:val="22"/>
                <w:szCs w:val="22"/>
              </w:rPr>
            </w:pPr>
            <w:r>
              <w:rPr>
                <w:rFonts w:hint="eastAsia" w:ascii="黑体" w:hAnsi="黑体" w:eastAsia="黑体" w:cs="黑体"/>
                <w:sz w:val="22"/>
                <w:szCs w:val="22"/>
              </w:rPr>
              <w:t xml:space="preserve">指一组原发于肌肉的遗传性疾病，临床表现为与神经系统无关的肌肉无力和肌肉萎缩。但 未达到本合同所指重大疾病“严重肌营养不良症”或“瘫痪”的给付标准。须满足下列全 部条件：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1. 肌肉组织活检结果满足肌营养不良症的肌肉细胞变性、坏死等阳性改变； </w:t>
            </w:r>
          </w:p>
          <w:p>
            <w:pPr>
              <w:widowControl/>
              <w:jc w:val="left"/>
              <w:rPr>
                <w:rFonts w:hint="eastAsia" w:ascii="黑体" w:hAnsi="黑体" w:eastAsia="黑体" w:cs="黑体"/>
                <w:sz w:val="22"/>
                <w:szCs w:val="22"/>
              </w:rPr>
            </w:pPr>
            <w:r>
              <w:rPr>
                <w:rFonts w:hint="eastAsia" w:ascii="黑体" w:hAnsi="黑体" w:eastAsia="黑体" w:cs="黑体"/>
                <w:sz w:val="22"/>
                <w:szCs w:val="22"/>
              </w:rPr>
              <w:t xml:space="preserve">2. 自主生活能力严重丧失，经鉴定无法独立完成六项基本日常生活活动中的两项或两项以 上。 </w:t>
            </w:r>
          </w:p>
          <w:p>
            <w:pPr>
              <w:widowControl/>
              <w:jc w:val="left"/>
              <w:rPr>
                <w:rFonts w:hint="eastAsia" w:ascii="黑体" w:hAnsi="黑体" w:eastAsia="黑体" w:cs="黑体"/>
                <w:b/>
                <w:sz w:val="22"/>
                <w:szCs w:val="22"/>
              </w:rPr>
            </w:pPr>
            <w:r>
              <w:rPr>
                <w:rFonts w:hint="eastAsia" w:ascii="黑体" w:hAnsi="黑体" w:eastAsia="黑体" w:cs="黑体"/>
                <w:sz w:val="22"/>
                <w:szCs w:val="22"/>
              </w:rPr>
              <w:t>本公司承担本项疾病责任不受本合同责任免除中“遗传性疾病，先天性畸形、变形或染色 体异常”的限制。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19 中度溃疡性 结肠炎</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本合同所保障的溃疡性结肠炎是指伴有致命性电解质紊乱的急性暴发性溃疡性结肠炎，病 变累及全结肠，表现为严重的血便和系统性症状体征和肠破裂的风险，本疾病的确诊必须 经由内窥镜检查证实该疾病侵犯全部结肠及直肠及活体切片检查证实为溃疡性结肠炎。且 须经相关专科医生连续以系统性免疫抑制剂或免疫调节剂持续治疗最少 90 天，但未达到本 合同所指重大疾病“严重溃疡性结肠炎”的给付标准，才符合本保障范围。其他种类的炎 性结肠炎,只发生在直肠的溃疡性结肠炎均不在保障范围内。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20 早期系统性 硬皮病</w:t>
            </w:r>
          </w:p>
        </w:tc>
        <w:tc>
          <w:tcPr>
            <w:tcW w:w="8362" w:type="dxa"/>
          </w:tcPr>
          <w:p>
            <w:pPr>
              <w:widowControl/>
              <w:jc w:val="left"/>
              <w:rPr>
                <w:rFonts w:hint="eastAsia" w:ascii="黑体" w:hAnsi="黑体" w:eastAsia="黑体" w:cs="黑体"/>
                <w:b/>
                <w:sz w:val="22"/>
                <w:szCs w:val="22"/>
              </w:rPr>
            </w:pPr>
            <w:r>
              <w:rPr>
                <w:rFonts w:hint="eastAsia" w:ascii="黑体" w:hAnsi="黑体" w:eastAsia="黑体" w:cs="黑体"/>
                <w:sz w:val="22"/>
                <w:szCs w:val="22"/>
              </w:rPr>
              <w:t>指一种以局限性或弥漫性皮肤增厚和皮肤、血管、内脏器官异常纤维化为特征的结缔组织 病。本病须经相关专科医生明确诊断，且未达到本合同所指重大疾病“系统性硬皮病”的 标准，并须满足下列所有条件： 1. 必须是经由相关专科医生根据美国风湿病学会（ACR）及欧洲抗风湿病联盟(EULAR)在 2013 年发布的系统性硬皮病诊断标准确认达到确诊标准（总分值由每一个分类中的最高比 重（分值）相加而成，总分≥9 分的患者被分类为系统性硬皮病）。 2. 须提供明确的病理活检及自身抗体免疫血清学证据支持。 以下情况不在保障范围内： 1. 局限性硬皮病（带状硬皮病或斑状损害）； 2. 嗜酸性筋膜炎； 3. CREST 综合征。</w:t>
            </w:r>
          </w:p>
        </w:tc>
      </w:tr>
    </w:tbl>
    <w:p>
      <w:pPr>
        <w:spacing w:line="340" w:lineRule="exact"/>
        <w:rPr>
          <w:rFonts w:ascii="华文中宋" w:hAnsi="华文中宋" w:eastAsia="华文中宋"/>
          <w:b/>
          <w:sz w:val="24"/>
          <w:szCs w:val="24"/>
        </w:rPr>
      </w:pPr>
    </w:p>
    <w:p>
      <w:pPr>
        <w:rPr>
          <w:rFonts w:ascii="华文中宋" w:hAnsi="华文中宋" w:eastAsia="华文中宋"/>
          <w:b/>
          <w:sz w:val="24"/>
          <w:szCs w:val="24"/>
        </w:rPr>
      </w:pPr>
      <w:r>
        <w:rPr>
          <w:rFonts w:ascii="华文中宋" w:hAnsi="华文中宋" w:eastAsia="华文中宋"/>
          <w:b/>
          <w:sz w:val="24"/>
          <w:szCs w:val="24"/>
        </w:rPr>
        <w:br w:type="page"/>
      </w:r>
    </w:p>
    <w:p>
      <w:pPr>
        <w:spacing w:line="360" w:lineRule="auto"/>
        <w:rPr>
          <w:rFonts w:hint="eastAsia" w:ascii="黑体" w:hAnsi="黑体" w:eastAsia="黑体"/>
          <w:b/>
          <w:kern w:val="0"/>
          <w:sz w:val="32"/>
          <w:szCs w:val="28"/>
          <w:lang w:eastAsia="zh-CN"/>
        </w:rPr>
      </w:pPr>
      <w:r>
        <w:rPr>
          <w:rFonts w:hint="eastAsia" w:ascii="黑体" w:hAnsi="黑体" w:eastAsia="黑体"/>
          <w:b/>
          <w:kern w:val="0"/>
          <w:sz w:val="32"/>
          <w:szCs w:val="28"/>
        </w:rPr>
        <w:t>附件</w:t>
      </w:r>
      <w:r>
        <w:rPr>
          <w:rFonts w:hint="eastAsia" w:ascii="黑体" w:hAnsi="黑体" w:eastAsia="黑体"/>
          <w:b/>
          <w:kern w:val="0"/>
          <w:sz w:val="32"/>
          <w:szCs w:val="28"/>
          <w:lang w:val="en-US" w:eastAsia="zh-CN"/>
        </w:rPr>
        <w:t>3</w:t>
      </w:r>
      <w:r>
        <w:rPr>
          <w:rFonts w:hint="eastAsia" w:ascii="黑体" w:hAnsi="黑体" w:eastAsia="黑体"/>
          <w:b/>
          <w:kern w:val="0"/>
          <w:sz w:val="32"/>
          <w:szCs w:val="28"/>
        </w:rPr>
        <w:t>：重疾绿通服务服务</w:t>
      </w:r>
      <w:r>
        <w:rPr>
          <w:rFonts w:hint="eastAsia" w:ascii="黑体" w:hAnsi="黑体" w:eastAsia="黑体"/>
          <w:b/>
          <w:kern w:val="0"/>
          <w:sz w:val="32"/>
          <w:szCs w:val="28"/>
          <w:lang w:eastAsia="zh-CN"/>
        </w:rPr>
        <w:t>医院</w:t>
      </w:r>
    </w:p>
    <w:p>
      <w:pPr>
        <w:spacing w:line="360" w:lineRule="auto"/>
        <w:rPr>
          <w:rFonts w:hint="eastAsia" w:ascii="黑体" w:hAnsi="黑体" w:eastAsia="黑体"/>
          <w:b/>
          <w:color w:val="000000" w:themeColor="text1"/>
          <w:lang w:eastAsia="zh-CN"/>
          <w14:textFill>
            <w14:solidFill>
              <w14:schemeClr w14:val="tx1"/>
            </w14:solidFill>
          </w14:textFill>
        </w:rPr>
      </w:pPr>
      <w:r>
        <w:rPr>
          <w:rFonts w:hint="eastAsia" w:ascii="黑体" w:hAnsi="黑体" w:eastAsia="黑体"/>
          <w:b/>
          <w:color w:val="000000" w:themeColor="text1"/>
          <w14:textFill>
            <w14:solidFill>
              <w14:schemeClr w14:val="tx1"/>
            </w14:solidFill>
          </w14:textFill>
        </w:rPr>
        <w:t>精选合作医院列表</w:t>
      </w:r>
      <w:r>
        <w:rPr>
          <w:rFonts w:hint="eastAsia" w:ascii="黑体" w:hAnsi="黑体" w:eastAsia="黑体"/>
          <w:b/>
          <w:color w:val="000000" w:themeColor="text1"/>
          <w:lang w:eastAsia="zh-CN"/>
          <w14:textFill>
            <w14:solidFill>
              <w14:schemeClr w14:val="tx1"/>
            </w14:solidFill>
          </w14:textFill>
        </w:rPr>
        <w:t>：</w:t>
      </w:r>
    </w:p>
    <w:tbl>
      <w:tblPr>
        <w:tblStyle w:val="88"/>
        <w:tblW w:w="7219" w:type="dxa"/>
        <w:tblInd w:w="108" w:type="dxa"/>
        <w:tblLayout w:type="autofit"/>
        <w:tblCellMar>
          <w:top w:w="0" w:type="dxa"/>
          <w:left w:w="108" w:type="dxa"/>
          <w:bottom w:w="0" w:type="dxa"/>
          <w:right w:w="108" w:type="dxa"/>
        </w:tblCellMar>
      </w:tblPr>
      <w:tblGrid>
        <w:gridCol w:w="1317"/>
        <w:gridCol w:w="5902"/>
      </w:tblGrid>
      <w:tr>
        <w:tblPrEx>
          <w:tblCellMar>
            <w:top w:w="0" w:type="dxa"/>
            <w:left w:w="108" w:type="dxa"/>
            <w:bottom w:w="0" w:type="dxa"/>
            <w:right w:w="108" w:type="dxa"/>
          </w:tblCellMar>
        </w:tblPrEx>
        <w:trPr>
          <w:trHeight w:val="315" w:hRule="atLeast"/>
        </w:trPr>
        <w:tc>
          <w:tcPr>
            <w:tcW w:w="1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lang w:val="en-US" w:eastAsia="zh-CN"/>
              </w:rPr>
            </w:pPr>
            <w:r>
              <w:rPr>
                <w:rFonts w:hint="eastAsia" w:ascii="黑体" w:hAnsi="黑体" w:eastAsia="黑体" w:cs="黑体"/>
                <w:color w:val="000000"/>
                <w:kern w:val="0"/>
                <w:sz w:val="22"/>
                <w:szCs w:val="22"/>
                <w:lang w:val="en-US" w:eastAsia="zh-CN"/>
              </w:rPr>
              <w:t>序号</w:t>
            </w:r>
          </w:p>
        </w:tc>
        <w:tc>
          <w:tcPr>
            <w:tcW w:w="5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lang w:eastAsia="zh-CN"/>
              </w:rPr>
            </w:pPr>
            <w:r>
              <w:rPr>
                <w:rFonts w:hint="eastAsia" w:ascii="黑体" w:hAnsi="黑体" w:eastAsia="黑体" w:cs="黑体"/>
                <w:color w:val="000000"/>
                <w:kern w:val="0"/>
                <w:sz w:val="22"/>
                <w:szCs w:val="22"/>
                <w:lang w:eastAsia="zh-CN"/>
              </w:rPr>
              <w:t>医院名称</w:t>
            </w:r>
          </w:p>
        </w:tc>
      </w:tr>
      <w:tr>
        <w:tblPrEx>
          <w:tblCellMar>
            <w:top w:w="0" w:type="dxa"/>
            <w:left w:w="108" w:type="dxa"/>
            <w:bottom w:w="0" w:type="dxa"/>
            <w:right w:w="108" w:type="dxa"/>
          </w:tblCellMar>
        </w:tblPrEx>
        <w:trPr>
          <w:trHeight w:val="325" w:hRule="atLeast"/>
        </w:trPr>
        <w:tc>
          <w:tcPr>
            <w:tcW w:w="1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w:t>
            </w:r>
          </w:p>
        </w:tc>
        <w:tc>
          <w:tcPr>
            <w:tcW w:w="5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四川大学华西医院</w:t>
            </w:r>
          </w:p>
        </w:tc>
      </w:tr>
      <w:tr>
        <w:tblPrEx>
          <w:tblCellMar>
            <w:top w:w="0" w:type="dxa"/>
            <w:left w:w="108" w:type="dxa"/>
            <w:bottom w:w="0" w:type="dxa"/>
            <w:right w:w="108" w:type="dxa"/>
          </w:tblCellMar>
        </w:tblPrEx>
        <w:trPr>
          <w:trHeight w:val="325" w:hRule="atLeast"/>
        </w:trPr>
        <w:tc>
          <w:tcPr>
            <w:tcW w:w="1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w:t>
            </w:r>
          </w:p>
        </w:tc>
        <w:tc>
          <w:tcPr>
            <w:tcW w:w="5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四川大学华西第二医院华西妇产儿童医院</w:t>
            </w:r>
          </w:p>
        </w:tc>
      </w:tr>
      <w:tr>
        <w:tblPrEx>
          <w:tblCellMar>
            <w:top w:w="0" w:type="dxa"/>
            <w:left w:w="108" w:type="dxa"/>
            <w:bottom w:w="0" w:type="dxa"/>
            <w:right w:w="108" w:type="dxa"/>
          </w:tblCellMar>
        </w:tblPrEx>
        <w:trPr>
          <w:trHeight w:val="325" w:hRule="atLeast"/>
        </w:trPr>
        <w:tc>
          <w:tcPr>
            <w:tcW w:w="1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w:t>
            </w:r>
          </w:p>
        </w:tc>
        <w:tc>
          <w:tcPr>
            <w:tcW w:w="5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四川大学华西第三医院</w:t>
            </w:r>
          </w:p>
        </w:tc>
      </w:tr>
      <w:tr>
        <w:tblPrEx>
          <w:tblCellMar>
            <w:top w:w="0" w:type="dxa"/>
            <w:left w:w="108" w:type="dxa"/>
            <w:bottom w:w="0" w:type="dxa"/>
            <w:right w:w="108" w:type="dxa"/>
          </w:tblCellMar>
        </w:tblPrEx>
        <w:trPr>
          <w:trHeight w:val="325" w:hRule="atLeast"/>
        </w:trPr>
        <w:tc>
          <w:tcPr>
            <w:tcW w:w="1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w:t>
            </w:r>
          </w:p>
        </w:tc>
        <w:tc>
          <w:tcPr>
            <w:tcW w:w="5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四川大学华西口腔医院</w:t>
            </w:r>
          </w:p>
        </w:tc>
      </w:tr>
      <w:tr>
        <w:tblPrEx>
          <w:tblCellMar>
            <w:top w:w="0" w:type="dxa"/>
            <w:left w:w="108" w:type="dxa"/>
            <w:bottom w:w="0" w:type="dxa"/>
            <w:right w:w="108" w:type="dxa"/>
          </w:tblCellMar>
        </w:tblPrEx>
        <w:trPr>
          <w:trHeight w:val="325" w:hRule="atLeast"/>
        </w:trPr>
        <w:tc>
          <w:tcPr>
            <w:tcW w:w="1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w:t>
            </w:r>
          </w:p>
        </w:tc>
        <w:tc>
          <w:tcPr>
            <w:tcW w:w="5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四川省人民医院</w:t>
            </w:r>
          </w:p>
        </w:tc>
      </w:tr>
      <w:tr>
        <w:tblPrEx>
          <w:tblCellMar>
            <w:top w:w="0" w:type="dxa"/>
            <w:left w:w="108" w:type="dxa"/>
            <w:bottom w:w="0" w:type="dxa"/>
            <w:right w:w="108" w:type="dxa"/>
          </w:tblCellMar>
        </w:tblPrEx>
        <w:trPr>
          <w:trHeight w:val="325" w:hRule="atLeast"/>
        </w:trPr>
        <w:tc>
          <w:tcPr>
            <w:tcW w:w="1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w:t>
            </w:r>
          </w:p>
        </w:tc>
        <w:tc>
          <w:tcPr>
            <w:tcW w:w="5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四川省第二人民医院四川省肿瘤医院</w:t>
            </w:r>
          </w:p>
        </w:tc>
      </w:tr>
      <w:tr>
        <w:tblPrEx>
          <w:tblCellMar>
            <w:top w:w="0" w:type="dxa"/>
            <w:left w:w="108" w:type="dxa"/>
            <w:bottom w:w="0" w:type="dxa"/>
            <w:right w:w="108" w:type="dxa"/>
          </w:tblCellMar>
        </w:tblPrEx>
        <w:trPr>
          <w:trHeight w:val="325" w:hRule="atLeast"/>
        </w:trPr>
        <w:tc>
          <w:tcPr>
            <w:tcW w:w="1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w:t>
            </w:r>
          </w:p>
        </w:tc>
        <w:tc>
          <w:tcPr>
            <w:tcW w:w="5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成都中医药大学附属医院</w:t>
            </w:r>
          </w:p>
        </w:tc>
      </w:tr>
      <w:tr>
        <w:tblPrEx>
          <w:tblCellMar>
            <w:top w:w="0" w:type="dxa"/>
            <w:left w:w="108" w:type="dxa"/>
            <w:bottom w:w="0" w:type="dxa"/>
            <w:right w:w="108" w:type="dxa"/>
          </w:tblCellMar>
        </w:tblPrEx>
        <w:trPr>
          <w:trHeight w:val="325" w:hRule="atLeast"/>
        </w:trPr>
        <w:tc>
          <w:tcPr>
            <w:tcW w:w="1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w:t>
            </w:r>
          </w:p>
        </w:tc>
        <w:tc>
          <w:tcPr>
            <w:tcW w:w="5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四川省妇幼保健院四川省妇女儿童医院</w:t>
            </w:r>
          </w:p>
        </w:tc>
      </w:tr>
      <w:tr>
        <w:tblPrEx>
          <w:tblCellMar>
            <w:top w:w="0" w:type="dxa"/>
            <w:left w:w="108" w:type="dxa"/>
            <w:bottom w:w="0" w:type="dxa"/>
            <w:right w:w="108" w:type="dxa"/>
          </w:tblCellMar>
        </w:tblPrEx>
        <w:trPr>
          <w:trHeight w:val="325" w:hRule="atLeast"/>
        </w:trPr>
        <w:tc>
          <w:tcPr>
            <w:tcW w:w="1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w:t>
            </w:r>
          </w:p>
        </w:tc>
        <w:tc>
          <w:tcPr>
            <w:tcW w:w="5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成都市第一人民医院成都市中西医结合医院</w:t>
            </w:r>
          </w:p>
        </w:tc>
      </w:tr>
      <w:tr>
        <w:tblPrEx>
          <w:tblCellMar>
            <w:top w:w="0" w:type="dxa"/>
            <w:left w:w="108" w:type="dxa"/>
            <w:bottom w:w="0" w:type="dxa"/>
            <w:right w:w="108" w:type="dxa"/>
          </w:tblCellMar>
        </w:tblPrEx>
        <w:trPr>
          <w:trHeight w:val="325" w:hRule="atLeast"/>
        </w:trPr>
        <w:tc>
          <w:tcPr>
            <w:tcW w:w="1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w:t>
            </w:r>
          </w:p>
        </w:tc>
        <w:tc>
          <w:tcPr>
            <w:tcW w:w="5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成都市第二人民医院</w:t>
            </w:r>
          </w:p>
        </w:tc>
      </w:tr>
      <w:tr>
        <w:tblPrEx>
          <w:tblCellMar>
            <w:top w:w="0" w:type="dxa"/>
            <w:left w:w="108" w:type="dxa"/>
            <w:bottom w:w="0" w:type="dxa"/>
            <w:right w:w="108" w:type="dxa"/>
          </w:tblCellMar>
        </w:tblPrEx>
        <w:trPr>
          <w:trHeight w:val="325" w:hRule="atLeast"/>
        </w:trPr>
        <w:tc>
          <w:tcPr>
            <w:tcW w:w="1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w:t>
            </w:r>
          </w:p>
        </w:tc>
        <w:tc>
          <w:tcPr>
            <w:tcW w:w="5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成都市第三人民医院</w:t>
            </w:r>
          </w:p>
        </w:tc>
      </w:tr>
      <w:tr>
        <w:tblPrEx>
          <w:tblCellMar>
            <w:top w:w="0" w:type="dxa"/>
            <w:left w:w="108" w:type="dxa"/>
            <w:bottom w:w="0" w:type="dxa"/>
            <w:right w:w="108" w:type="dxa"/>
          </w:tblCellMar>
        </w:tblPrEx>
        <w:trPr>
          <w:trHeight w:val="325" w:hRule="atLeast"/>
        </w:trPr>
        <w:tc>
          <w:tcPr>
            <w:tcW w:w="1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w:t>
            </w:r>
          </w:p>
        </w:tc>
        <w:tc>
          <w:tcPr>
            <w:tcW w:w="5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成都市妇幼保健院</w:t>
            </w:r>
          </w:p>
        </w:tc>
      </w:tr>
      <w:tr>
        <w:tblPrEx>
          <w:tblCellMar>
            <w:top w:w="0" w:type="dxa"/>
            <w:left w:w="108" w:type="dxa"/>
            <w:bottom w:w="0" w:type="dxa"/>
            <w:right w:w="108" w:type="dxa"/>
          </w:tblCellMar>
        </w:tblPrEx>
        <w:trPr>
          <w:trHeight w:val="325" w:hRule="atLeast"/>
        </w:trPr>
        <w:tc>
          <w:tcPr>
            <w:tcW w:w="1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w:t>
            </w:r>
          </w:p>
        </w:tc>
        <w:tc>
          <w:tcPr>
            <w:tcW w:w="5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成都运动创伤研究所成都体院附院</w:t>
            </w:r>
          </w:p>
        </w:tc>
      </w:tr>
      <w:tr>
        <w:tblPrEx>
          <w:tblCellMar>
            <w:top w:w="0" w:type="dxa"/>
            <w:left w:w="108" w:type="dxa"/>
            <w:bottom w:w="0" w:type="dxa"/>
            <w:right w:w="108" w:type="dxa"/>
          </w:tblCellMar>
        </w:tblPrEx>
        <w:trPr>
          <w:trHeight w:val="325" w:hRule="atLeast"/>
        </w:trPr>
        <w:tc>
          <w:tcPr>
            <w:tcW w:w="1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w:t>
            </w:r>
          </w:p>
        </w:tc>
        <w:tc>
          <w:tcPr>
            <w:tcW w:w="5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攀枝花市中心医院</w:t>
            </w:r>
          </w:p>
        </w:tc>
      </w:tr>
      <w:tr>
        <w:tblPrEx>
          <w:tblCellMar>
            <w:top w:w="0" w:type="dxa"/>
            <w:left w:w="108" w:type="dxa"/>
            <w:bottom w:w="0" w:type="dxa"/>
            <w:right w:w="108" w:type="dxa"/>
          </w:tblCellMar>
        </w:tblPrEx>
        <w:trPr>
          <w:trHeight w:val="325" w:hRule="atLeast"/>
        </w:trPr>
        <w:tc>
          <w:tcPr>
            <w:tcW w:w="1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15</w:t>
            </w:r>
          </w:p>
        </w:tc>
        <w:tc>
          <w:tcPr>
            <w:tcW w:w="5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绵阳市中心医院</w:t>
            </w:r>
          </w:p>
        </w:tc>
      </w:tr>
      <w:tr>
        <w:tblPrEx>
          <w:tblCellMar>
            <w:top w:w="0" w:type="dxa"/>
            <w:left w:w="108" w:type="dxa"/>
            <w:bottom w:w="0" w:type="dxa"/>
            <w:right w:w="108" w:type="dxa"/>
          </w:tblCellMar>
        </w:tblPrEx>
        <w:trPr>
          <w:trHeight w:val="325" w:hRule="atLeast"/>
        </w:trPr>
        <w:tc>
          <w:tcPr>
            <w:tcW w:w="1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16</w:t>
            </w:r>
          </w:p>
        </w:tc>
        <w:tc>
          <w:tcPr>
            <w:tcW w:w="5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四川省精神卫生中心绵阳市第三人民医院</w:t>
            </w:r>
          </w:p>
        </w:tc>
      </w:tr>
      <w:tr>
        <w:tblPrEx>
          <w:tblCellMar>
            <w:top w:w="0" w:type="dxa"/>
            <w:left w:w="108" w:type="dxa"/>
            <w:bottom w:w="0" w:type="dxa"/>
            <w:right w:w="108" w:type="dxa"/>
          </w:tblCellMar>
        </w:tblPrEx>
        <w:trPr>
          <w:trHeight w:val="325" w:hRule="atLeast"/>
        </w:trPr>
        <w:tc>
          <w:tcPr>
            <w:tcW w:w="1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17</w:t>
            </w:r>
          </w:p>
        </w:tc>
        <w:tc>
          <w:tcPr>
            <w:tcW w:w="5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川北医学院附属医院</w:t>
            </w:r>
          </w:p>
        </w:tc>
      </w:tr>
      <w:tr>
        <w:tblPrEx>
          <w:tblCellMar>
            <w:top w:w="0" w:type="dxa"/>
            <w:left w:w="108" w:type="dxa"/>
            <w:bottom w:w="0" w:type="dxa"/>
            <w:right w:w="108" w:type="dxa"/>
          </w:tblCellMar>
        </w:tblPrEx>
        <w:trPr>
          <w:trHeight w:val="325" w:hRule="atLeast"/>
        </w:trPr>
        <w:tc>
          <w:tcPr>
            <w:tcW w:w="1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18</w:t>
            </w:r>
          </w:p>
        </w:tc>
        <w:tc>
          <w:tcPr>
            <w:tcW w:w="5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遂宁市人民医院</w:t>
            </w:r>
          </w:p>
        </w:tc>
      </w:tr>
      <w:tr>
        <w:tblPrEx>
          <w:tblCellMar>
            <w:top w:w="0" w:type="dxa"/>
            <w:left w:w="108" w:type="dxa"/>
            <w:bottom w:w="0" w:type="dxa"/>
            <w:right w:w="108" w:type="dxa"/>
          </w:tblCellMar>
        </w:tblPrEx>
        <w:trPr>
          <w:trHeight w:val="325" w:hRule="atLeast"/>
        </w:trPr>
        <w:tc>
          <w:tcPr>
            <w:tcW w:w="1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19</w:t>
            </w:r>
          </w:p>
        </w:tc>
        <w:tc>
          <w:tcPr>
            <w:tcW w:w="5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泸州医学院附属医院</w:t>
            </w:r>
          </w:p>
        </w:tc>
      </w:tr>
      <w:tr>
        <w:tblPrEx>
          <w:tblCellMar>
            <w:top w:w="0" w:type="dxa"/>
            <w:left w:w="108" w:type="dxa"/>
            <w:bottom w:w="0" w:type="dxa"/>
            <w:right w:w="108" w:type="dxa"/>
          </w:tblCellMar>
        </w:tblPrEx>
        <w:trPr>
          <w:trHeight w:val="325" w:hRule="atLeast"/>
        </w:trPr>
        <w:tc>
          <w:tcPr>
            <w:tcW w:w="1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20</w:t>
            </w:r>
          </w:p>
        </w:tc>
        <w:tc>
          <w:tcPr>
            <w:tcW w:w="5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宜宾市第二人民医院</w:t>
            </w:r>
          </w:p>
        </w:tc>
      </w:tr>
      <w:tr>
        <w:tblPrEx>
          <w:tblCellMar>
            <w:top w:w="0" w:type="dxa"/>
            <w:left w:w="108" w:type="dxa"/>
            <w:bottom w:w="0" w:type="dxa"/>
            <w:right w:w="108" w:type="dxa"/>
          </w:tblCellMar>
        </w:tblPrEx>
        <w:trPr>
          <w:trHeight w:val="325" w:hRule="atLeast"/>
        </w:trPr>
        <w:tc>
          <w:tcPr>
            <w:tcW w:w="1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21</w:t>
            </w:r>
          </w:p>
        </w:tc>
        <w:tc>
          <w:tcPr>
            <w:tcW w:w="5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中国人民解放军成都军区总医院</w:t>
            </w:r>
          </w:p>
        </w:tc>
      </w:tr>
      <w:tr>
        <w:tblPrEx>
          <w:tblCellMar>
            <w:top w:w="0" w:type="dxa"/>
            <w:left w:w="108" w:type="dxa"/>
            <w:bottom w:w="0" w:type="dxa"/>
            <w:right w:w="108" w:type="dxa"/>
          </w:tblCellMar>
        </w:tblPrEx>
        <w:trPr>
          <w:trHeight w:val="325" w:hRule="atLeast"/>
        </w:trPr>
        <w:tc>
          <w:tcPr>
            <w:tcW w:w="1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22</w:t>
            </w:r>
          </w:p>
        </w:tc>
        <w:tc>
          <w:tcPr>
            <w:tcW w:w="5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空军成都医院中国人民解放军第四五二医院</w:t>
            </w:r>
          </w:p>
        </w:tc>
      </w:tr>
      <w:tr>
        <w:tblPrEx>
          <w:tblCellMar>
            <w:top w:w="0" w:type="dxa"/>
            <w:left w:w="108" w:type="dxa"/>
            <w:bottom w:w="0" w:type="dxa"/>
            <w:right w:w="108" w:type="dxa"/>
          </w:tblCellMar>
        </w:tblPrEx>
        <w:trPr>
          <w:trHeight w:val="325" w:hRule="atLeast"/>
        </w:trPr>
        <w:tc>
          <w:tcPr>
            <w:tcW w:w="1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23</w:t>
            </w:r>
          </w:p>
        </w:tc>
        <w:tc>
          <w:tcPr>
            <w:tcW w:w="5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中国人民解放军四十七医院</w:t>
            </w:r>
          </w:p>
        </w:tc>
      </w:tr>
      <w:tr>
        <w:tblPrEx>
          <w:tblCellMar>
            <w:top w:w="0" w:type="dxa"/>
            <w:left w:w="108" w:type="dxa"/>
            <w:bottom w:w="0" w:type="dxa"/>
            <w:right w:w="108" w:type="dxa"/>
          </w:tblCellMar>
        </w:tblPrEx>
        <w:trPr>
          <w:trHeight w:val="325" w:hRule="atLeast"/>
        </w:trPr>
        <w:tc>
          <w:tcPr>
            <w:tcW w:w="1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24</w:t>
            </w:r>
          </w:p>
        </w:tc>
        <w:tc>
          <w:tcPr>
            <w:tcW w:w="5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贵州省人民医院贵州省红十字医院</w:t>
            </w:r>
          </w:p>
        </w:tc>
      </w:tr>
      <w:tr>
        <w:tblPrEx>
          <w:tblCellMar>
            <w:top w:w="0" w:type="dxa"/>
            <w:left w:w="108" w:type="dxa"/>
            <w:bottom w:w="0" w:type="dxa"/>
            <w:right w:w="108" w:type="dxa"/>
          </w:tblCellMar>
        </w:tblPrEx>
        <w:trPr>
          <w:trHeight w:val="325" w:hRule="atLeast"/>
        </w:trPr>
        <w:tc>
          <w:tcPr>
            <w:tcW w:w="1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25</w:t>
            </w:r>
          </w:p>
        </w:tc>
        <w:tc>
          <w:tcPr>
            <w:tcW w:w="5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贵阳医学院附属医院贵州省肿瘤医院</w:t>
            </w:r>
          </w:p>
        </w:tc>
      </w:tr>
      <w:tr>
        <w:tblPrEx>
          <w:tblCellMar>
            <w:top w:w="0" w:type="dxa"/>
            <w:left w:w="108" w:type="dxa"/>
            <w:bottom w:w="0" w:type="dxa"/>
            <w:right w:w="108" w:type="dxa"/>
          </w:tblCellMar>
        </w:tblPrEx>
        <w:trPr>
          <w:trHeight w:val="325" w:hRule="atLeast"/>
        </w:trPr>
        <w:tc>
          <w:tcPr>
            <w:tcW w:w="1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26</w:t>
            </w:r>
          </w:p>
        </w:tc>
        <w:tc>
          <w:tcPr>
            <w:tcW w:w="5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贵阳中医学院第二附属医院</w:t>
            </w:r>
          </w:p>
        </w:tc>
      </w:tr>
      <w:tr>
        <w:tblPrEx>
          <w:tblCellMar>
            <w:top w:w="0" w:type="dxa"/>
            <w:left w:w="108" w:type="dxa"/>
            <w:bottom w:w="0" w:type="dxa"/>
            <w:right w:w="108" w:type="dxa"/>
          </w:tblCellMar>
        </w:tblPrEx>
        <w:trPr>
          <w:trHeight w:val="325" w:hRule="atLeast"/>
        </w:trPr>
        <w:tc>
          <w:tcPr>
            <w:tcW w:w="1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27</w:t>
            </w:r>
          </w:p>
        </w:tc>
        <w:tc>
          <w:tcPr>
            <w:tcW w:w="5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贵阳市妇幼保健院贵阳市儿童医院</w:t>
            </w:r>
          </w:p>
        </w:tc>
      </w:tr>
      <w:tr>
        <w:tblPrEx>
          <w:tblCellMar>
            <w:top w:w="0" w:type="dxa"/>
            <w:left w:w="108" w:type="dxa"/>
            <w:bottom w:w="0" w:type="dxa"/>
            <w:right w:w="108" w:type="dxa"/>
          </w:tblCellMar>
        </w:tblPrEx>
        <w:trPr>
          <w:trHeight w:val="325" w:hRule="atLeast"/>
        </w:trPr>
        <w:tc>
          <w:tcPr>
            <w:tcW w:w="1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28</w:t>
            </w:r>
          </w:p>
        </w:tc>
        <w:tc>
          <w:tcPr>
            <w:tcW w:w="5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遵义医学院附属医院</w:t>
            </w:r>
          </w:p>
        </w:tc>
      </w:tr>
      <w:tr>
        <w:tblPrEx>
          <w:tblCellMar>
            <w:top w:w="0" w:type="dxa"/>
            <w:left w:w="108" w:type="dxa"/>
            <w:bottom w:w="0" w:type="dxa"/>
            <w:right w:w="108" w:type="dxa"/>
          </w:tblCellMar>
        </w:tblPrEx>
        <w:trPr>
          <w:trHeight w:val="325" w:hRule="atLeast"/>
        </w:trPr>
        <w:tc>
          <w:tcPr>
            <w:tcW w:w="1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29</w:t>
            </w:r>
          </w:p>
        </w:tc>
        <w:tc>
          <w:tcPr>
            <w:tcW w:w="5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遵义市中医院</w:t>
            </w:r>
          </w:p>
        </w:tc>
      </w:tr>
      <w:tr>
        <w:tblPrEx>
          <w:tblCellMar>
            <w:top w:w="0" w:type="dxa"/>
            <w:left w:w="108" w:type="dxa"/>
            <w:bottom w:w="0" w:type="dxa"/>
            <w:right w:w="108" w:type="dxa"/>
          </w:tblCellMar>
        </w:tblPrEx>
        <w:trPr>
          <w:trHeight w:val="335" w:hRule="atLeast"/>
        </w:trPr>
        <w:tc>
          <w:tcPr>
            <w:tcW w:w="13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30</w:t>
            </w:r>
          </w:p>
        </w:tc>
        <w:tc>
          <w:tcPr>
            <w:tcW w:w="59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贵州省武警总队医院</w:t>
            </w:r>
          </w:p>
        </w:tc>
      </w:tr>
    </w:tbl>
    <w:p>
      <w:pPr>
        <w:spacing w:line="360" w:lineRule="auto"/>
        <w:rPr>
          <w:rFonts w:hint="eastAsia" w:ascii="黑体" w:hAnsi="黑体" w:eastAsia="黑体"/>
          <w:b/>
          <w:color w:val="000000" w:themeColor="text1"/>
          <w:lang w:val="en-US" w:eastAsia="zh-CN"/>
          <w14:textFill>
            <w14:solidFill>
              <w14:schemeClr w14:val="tx1"/>
            </w14:solidFill>
          </w14:textFill>
        </w:rPr>
      </w:pPr>
      <w:r>
        <w:rPr>
          <w:rFonts w:hint="eastAsia" w:ascii="黑体" w:hAnsi="黑体" w:eastAsia="黑体"/>
          <w:b/>
          <w:color w:val="000000" w:themeColor="text1"/>
          <w14:textFill>
            <w14:solidFill>
              <w14:schemeClr w14:val="tx1"/>
            </w14:solidFill>
          </w14:textFill>
        </w:rPr>
        <w:t>全国超过1500家合作医院列表展示</w:t>
      </w:r>
      <w:r>
        <w:rPr>
          <w:rFonts w:hint="eastAsia" w:ascii="黑体" w:hAnsi="黑体" w:eastAsia="黑体"/>
          <w:b/>
          <w:color w:val="000000" w:themeColor="text1"/>
          <w:lang w:val="en-US" w:eastAsia="zh-CN"/>
          <w14:textFill>
            <w14:solidFill>
              <w14:schemeClr w14:val="tx1"/>
            </w14:solidFill>
          </w14:textFill>
        </w:rPr>
        <w:t>:</w:t>
      </w:r>
    </w:p>
    <w:tbl>
      <w:tblPr>
        <w:tblStyle w:val="88"/>
        <w:tblW w:w="7240" w:type="dxa"/>
        <w:tblInd w:w="108" w:type="dxa"/>
        <w:tblLayout w:type="autofit"/>
        <w:tblCellMar>
          <w:top w:w="0" w:type="dxa"/>
          <w:left w:w="108" w:type="dxa"/>
          <w:bottom w:w="0" w:type="dxa"/>
          <w:right w:w="108" w:type="dxa"/>
        </w:tblCellMar>
      </w:tblPr>
      <w:tblGrid>
        <w:gridCol w:w="1040"/>
        <w:gridCol w:w="6200"/>
      </w:tblGrid>
      <w:tr>
        <w:tblPrEx>
          <w:tblCellMar>
            <w:top w:w="0" w:type="dxa"/>
            <w:left w:w="108" w:type="dxa"/>
            <w:bottom w:w="0" w:type="dxa"/>
            <w:right w:w="108" w:type="dxa"/>
          </w:tblCellMar>
        </w:tblPrEx>
        <w:trPr>
          <w:trHeight w:val="340" w:hRule="atLeast"/>
        </w:trPr>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lang w:val="en-US" w:eastAsia="zh-CN"/>
              </w:rPr>
            </w:pPr>
            <w:r>
              <w:rPr>
                <w:rFonts w:hint="eastAsia" w:ascii="黑体" w:hAnsi="黑体" w:eastAsia="黑体" w:cs="黑体"/>
                <w:color w:val="000000"/>
                <w:kern w:val="0"/>
                <w:sz w:val="22"/>
                <w:szCs w:val="22"/>
                <w:lang w:val="en-US" w:eastAsia="zh-CN"/>
              </w:rPr>
              <w:t>序号</w:t>
            </w:r>
          </w:p>
        </w:tc>
        <w:tc>
          <w:tcPr>
            <w:tcW w:w="620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lang w:eastAsia="zh-CN"/>
              </w:rPr>
            </w:pPr>
            <w:r>
              <w:rPr>
                <w:rFonts w:hint="eastAsia" w:ascii="黑体" w:hAnsi="黑体" w:eastAsia="黑体" w:cs="黑体"/>
                <w:color w:val="000000"/>
                <w:kern w:val="0"/>
                <w:sz w:val="22"/>
                <w:szCs w:val="22"/>
                <w:lang w:eastAsia="zh-CN"/>
              </w:rPr>
              <w:t>医院名称</w:t>
            </w:r>
          </w:p>
        </w:tc>
      </w:tr>
      <w:tr>
        <w:tblPrEx>
          <w:tblCellMar>
            <w:top w:w="0" w:type="dxa"/>
            <w:left w:w="108" w:type="dxa"/>
            <w:bottom w:w="0" w:type="dxa"/>
            <w:right w:w="108" w:type="dxa"/>
          </w:tblCellMar>
        </w:tblPrEx>
        <w:trPr>
          <w:trHeight w:val="340" w:hRule="atLeast"/>
        </w:trPr>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w:t>
            </w:r>
          </w:p>
        </w:tc>
        <w:tc>
          <w:tcPr>
            <w:tcW w:w="620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安徽大学附属医院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安徽省第二人民医院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安徽省儿童医院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安徽省金色童年儿童医院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安徽省立医院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安徽省肿瘤医院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安徽医科大学第一附属医院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安徽中医药大学第一附属医院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安康市汉滨区第一医院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安康市中心医院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安康市中医医院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安阳地区医院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安阳市人民医院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安阳市中医院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安阳市肿瘤医院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鞍钢总医院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鞍山市中心医院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鞍山市中医院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八一医院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巴彦淖尔市中医院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巴中市中心医院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白求恩国际和平医院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蚌埠第三人民医院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蚌埠医学院第三附属医院皖北总院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蚌埠医学院第一附属医院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包头李德皮肤医院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包头市第四医院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包头市蒙医中医医院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包头市蒙中医院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包头市眼科医院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包头市中心医院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包头医学院第一附属医院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宝鸡市妇幼保健院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宝鸡市人民医院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宝鸡市中心医院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宝鸡市中医医院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保定市第二医院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保定市第一中心医院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北碚中医院城南园区</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北京安贞医院小儿心脏中心</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北京博爱医院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北京朝阳医院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北京朝阳医院西区</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北京大学第六医院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北京大学第三医院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北京大学第四临床医学院北京积水潭医院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北京大学第四临床医学院北京积水潭医院回龙观分院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北京大学第四医学院北京积水潭医院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北京大学第四医学院北京积水潭医院回龙观分院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北京大学第一医院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北京大学口腔医院（魏公村总院)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北京大学人民医院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北京大学深圳医院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北京回龙观医院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北京军区总医院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北京军区总医院附属八一脑科医院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北京市昌平区中西医结合医院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北京协和医院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北京中医药大学东方医院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北京中医药大学东直门医院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北京中医药大学东直门医院国际部</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北京中医药大学深圳医院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北京肿瘤医院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本钢总医院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本溪市中医院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毕节市中医医院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滨州医学院附属医院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博尔塔拉蒙古自治州人民医院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苍南县人民医院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沧州市中西医结合医院东院区</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常熟市中医院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常州市第二人民医院（城中院区）</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常州市第二人民医院（阳湖院区）</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常州市第四人民医院（怀德院区)</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常州市第四人民医院（新北院区)</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常州市第一人民医院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常州市妇幼保健院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常州市中医医院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常州武进人民医院南院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朝阳市中医院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朝阳中心医院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郴州市第一人民医院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郴州市儿童医院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成都大学附属医院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成都军区总医院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成都军区总医院本地</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成都市第二人民医院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成都市第七人民医院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成都市第三人民医院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成都市第一人民医院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成都市公共卫生临床医疗中心</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成都市龙泉驿区妇幼保健院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成都市西区医院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成都市新都区妇幼保健院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成都市新都区中医医院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成都医学院第一附属医院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成都中医药大学附属医院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成飞医院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承德医学院附属医院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赤峰市宁城县中心医院（宁城县医院）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赤峰市医院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崇州市妇幼保健院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慈林医院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慈溪市妇幼保健院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慈溪市人民医院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达拉特旗人民医院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大理白族自治州人民医院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大理学院附属医院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大理州第二人民医院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大连210医院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大连大学附属新华医院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大连大学附属中山医院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大连市第二人民医院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大连市第三人民医院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大连市妇女儿童医疗中心</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大连市友谊医院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大连市中心医院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大连市中医院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大连医科大学附属第二医院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大连医科大学附属第一医院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大庆龙南医院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大庆市第三医院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大庆市人民医院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大庆市中医医院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大庆油田总医院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德州市妇幼保健院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第163中国人民解放军医院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第二军医大学附属长海医院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第二军医大学附属长征医院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第二军医大学长征医院南京分院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第二炮兵总医院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第九人民医院整复外科特需部</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第三军医大学西南医院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第三军医大学新桥医院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第四军医大学唐都医院-本地</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第一医院思明分院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东风总医院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东莞市第三人民医院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东莞市东华医院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东莞市妇幼保健院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东莞市人民医院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东莞市人民医院第一门诊部</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东莞市人民医院红楼院区</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东莞市人民医院普济院区</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东莞市人民医院万江院区</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东莞市太平人民医院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东莞市中医院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东南大学附属中大医院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东台市中医院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150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东阳市人民医院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151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东阳市中医院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152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东营市第二人民医院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153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都昌县中医院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154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都江堰市妇幼保健院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155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鄂尔多斯市蒙医医院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156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鄂尔多斯市中心医院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157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鄂州市中心医院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158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鄂州市中医院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159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恩施州中心医院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160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佛山市第一人民医院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161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佛山市妇幼保健院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162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佛山市南海区妇幼保健院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163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佛山市三水区人民医院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164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佛山市中医院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165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福建省第二人民医院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166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福建省妇幼保健院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167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福建省老年医院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168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福建省立金山医院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169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福建省立医院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170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福建省皮肤病性病防治院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171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福建省人民医院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172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福建医科大学附属第一医院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173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福建医科大学附属福州市第一医院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174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福建医科大学附属口腔医院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175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福建医科大学附属协和医院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176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福建医科大学孟超肝胆医院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177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福建中医药大学附属第三人民医院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178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福建中医药大学附属康复医院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179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福州东南眼科医院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180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福州市妇幼保健院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181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福州市皮肤病防治院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182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福州市中医院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183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福州眼科医院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184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福州总院476医院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185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阜外心血管病医院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186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阜外心血管病医院特需</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187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复旦大学附属儿科医院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188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复旦大学附属妇产科医院黄浦院区</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189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复旦大学附属妇产科医院杨浦院区</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190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复旦大学附属华东医院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191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复旦大学附属华东医院闵行门诊部</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192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复旦大学附属华东医院特需诊疗部</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193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复旦大学附属华山医院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194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复旦大学附属华山医院北院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195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复旦大学附属华山医院东院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196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复旦大学附属金山医院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197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复旦大学附属上海市第五人民医院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198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复旦大学附属眼耳鼻喉科浦东分院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199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复旦大学附属眼耳鼻喉科医院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200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复旦大学附属中山医院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201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复旦大学附属中山医院青浦医院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202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复旦大学附属中山医院特需门诊部</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203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复旦大学附属中山医院延安西路分部</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204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复旦大学附属肿瘤医院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205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富阳市妇幼保健院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206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富阳市人民医院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207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富阳市中医骨伤医院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208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甘肃省第二人民医院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209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甘肃省第三人民医院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210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甘肃省康复中心医院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211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甘肃省人民医院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212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甘肃省武威肿瘤医院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213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甘肃省中医院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214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甘肃省肿瘤医院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215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甘肃中医学院附属医院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216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赣南医学院第一附属医院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217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赣州市第三人民医院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218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赣州市妇幼保健院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219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赣州市立医院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220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赣州市南康区第一人民医院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221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赣州市肿瘤医院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222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葛洲坝集团中心医院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223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广东三九脑科医院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224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广东省第二人民医院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225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广东省第二中医院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226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广东省口腔医院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227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广东省农垦中心医院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228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广东省人民医院平洲分院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229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广东省中山市人民医院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230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广东省中西医结合医院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231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广东省中医院大德路总院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232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广东省中医院大学城医院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233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广东省中医院二沙岛分院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234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广东省中医院芳村分院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235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广东省中医院罗冲围门诊部</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236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广东省中医院天河门诊部</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237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广东省中医院下塘门诊部</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238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广东省中医院珠海医院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239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广东药科大学附属第一医院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240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广东医学院附属医院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241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广西骨伤医院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242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广西江滨医院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243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广西区妇幼保健院(新阳路西院)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244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广西医科大学第三附属医院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245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广西医科大学第一附属医院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246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广西医科大学附属口腔医院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247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广西医科大学附属肿瘤医院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248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广西中医药大学第一附属医院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249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广西中医药大学第一附属医院仁爱分院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250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广西中医药大学附属瑞康医院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251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广西壮族自治区民族医院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252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广西壮族自治区人民医院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253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广元市第四人民医院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254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广元市第一人民医院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255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广州华侨医院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256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广州军区广州总医院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257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广州军区武汉总医院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258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广州市番禺区何贤纪念医院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259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广州市番禺区中心医院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260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广州市番禺区中医院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261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广州市妇女儿童医疗中心</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262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广州市红十字会医院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263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广州市花都区人民医院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264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广州市中医医院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265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广州医科大学附属第三医院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266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广州医科大学附属第一医院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267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广州中医药大学第一附属医院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268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广州中医药大学三院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269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广州中医药大学深圳医院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270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贵阳省人民医院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271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贵阳市第四人民医院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272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贵阳市第一人民医院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273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贵阳市妇幼保健院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274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贵阳市金阳医院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275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贵阳医学院附属医院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276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贵阳中医学院第二附属医院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277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贵阳中医学院第一附属医院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278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贵州省骨科医院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279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贵州省肿瘤医院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280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桂林南溪山医院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281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桂林市妇女儿童医院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282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桂林市中医院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283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桂林医学院附属医院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284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哈尔滨二四二医院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285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哈尔滨红十字医院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286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哈尔滨市传染病院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287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哈尔滨市第四医院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288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fldChar w:fldCharType="begin"/>
            </w:r>
            <w:r>
              <w:rPr>
                <w:rFonts w:hint="eastAsia" w:ascii="黑体" w:hAnsi="黑体" w:eastAsia="黑体" w:cs="黑体"/>
                <w:color w:val="000000"/>
                <w:kern w:val="0"/>
                <w:sz w:val="22"/>
                <w:szCs w:val="22"/>
              </w:rPr>
              <w:instrText xml:space="preserve"> HYPERLINK "https://www.haodf.com/hospital/DE4rO-XCoLU0y2pU0lPR5qqdfm.htm" </w:instrText>
            </w:r>
            <w:r>
              <w:rPr>
                <w:rFonts w:hint="eastAsia" w:ascii="黑体" w:hAnsi="黑体" w:eastAsia="黑体" w:cs="黑体"/>
                <w:color w:val="000000"/>
                <w:kern w:val="0"/>
                <w:sz w:val="22"/>
                <w:szCs w:val="22"/>
              </w:rPr>
              <w:fldChar w:fldCharType="separate"/>
            </w:r>
            <w:r>
              <w:rPr>
                <w:rFonts w:hint="eastAsia" w:ascii="黑体" w:hAnsi="黑体" w:eastAsia="黑体" w:cs="黑体"/>
                <w:color w:val="000000"/>
                <w:kern w:val="0"/>
                <w:sz w:val="22"/>
                <w:szCs w:val="22"/>
              </w:rPr>
              <w:t>哈尔滨市第五医院</w:t>
            </w:r>
            <w:r>
              <w:rPr>
                <w:rFonts w:hint="eastAsia" w:ascii="黑体" w:hAnsi="黑体" w:eastAsia="黑体" w:cs="黑体"/>
                <w:color w:val="000000"/>
                <w:kern w:val="0"/>
                <w:sz w:val="22"/>
                <w:szCs w:val="22"/>
              </w:rPr>
              <w:fldChar w:fldCharType="end"/>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289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哈尔滨市第一医院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290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哈尔滨市第一专科医院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291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哈尔滨市儿童医院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292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哈尔滨医科大学附属第四医院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293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哈尔滨医科大学附属肿瘤医院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294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哈尔滨中医院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295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哈励逊国际和平医院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296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哈医大二院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297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哈医大口腔医院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298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哈医大四院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299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哈医大胸科医院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300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哈医大一院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301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海安县中医院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302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海军总医院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303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海口市人民医院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304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海口市中医医院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305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海南省农垦三亚医院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306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海南省农垦总医院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307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海南省中医院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308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海南省肿瘤医院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309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海南医学院第一附属医院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310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海宁市中医院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311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邯郸市第一医院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312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邯郸市中医院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313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汉中市中心医院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314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杭州市第二人民医院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315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杭州市第六人民医院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316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杭州市第七人民医院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317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杭州市第三人民医院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318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杭州市第一人民医院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319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杭州市儿童医院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320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杭州市红十字会医院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321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杭州市萧山区第一人民医院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322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杭州市萧山区中医院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323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杭州市余杭区第一人民医院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324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杭州市余杭区妇幼保健院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325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杭州市中医院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326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杭州市肿瘤医院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327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合川区医院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328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合肥普瑞眼科医院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329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合肥市滨湖医院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330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合肥市第三人民医院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331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合肥市第一人民医院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332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河北大学附属医院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333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河北省儿童医院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334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河北省人民医院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335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河北省胸科医院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336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河北医科大学第二医院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337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河北医科大学第三医院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338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河北医科大学第四医院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339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河北医科大学第一医院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340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河北中医学院附属医院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341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河科大一附院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342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河南大学第一附属医院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343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河南大学淮河医院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344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河南弘大心血管病医院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345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河南科技大学第一附属医院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346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河南省精神病医院新乡医学院第二附属医院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347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河南省立眼科医院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348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河南省洛阳正骨医院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349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河南省人民医院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350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河南省中医院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351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河南省肿瘤医院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352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河南中医学院第三附属医院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353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河南中医药大学第一附属医院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354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核工业416医院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355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核工业四一六医院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356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黑龙江省传染病防治院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357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黑龙江省第二医院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358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黑龙江省第三医院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359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黑龙江省建三江人民医院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360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黑龙江省康复医院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361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黑龙江省农垦总局总医院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362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黑龙江省森工总医院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363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黑龙江省眼科医院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364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黑龙江省医院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365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黑龙江省医院道外分院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366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黑龙江省医院南岗分院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367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黑龙江省中医医院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368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黑龙江中医药大学附属第二医院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369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黑龙江中医药大学附属第一医院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370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衡阳市中心医院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371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衡阳市中医医院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372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侯马市人民医院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373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呼和浩特市第二医院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374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呼伦贝尔市第二人民医院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375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呼伦贝尔市人民医院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376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呼伦贝尔市中蒙医院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377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湖北民族学院附属民大医院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378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湖北省第三人民医院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379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湖北省妇幼保健院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380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湖北省中医院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381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湖北省肿瘤医院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382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湖南省第二人民医院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383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湖南省儿童医院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384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湖南省妇幼保健院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385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湖南省结核病（胸科）医院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386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湖南省老年医院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387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湖南省人民医院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388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湖南省中医药研究院附属医院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389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湖南省中医院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390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湖南省肿瘤医院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391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湖南医药学院第一附属医院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392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湖南中医药大学第二附属医院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393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湖南中医药大学第一附属医院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394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湖州市第三人民医院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395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湖州市妇幼保健院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396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湖州市中心医院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397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华北理工大学附属医院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398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华润武钢总医院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399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华中科技大学同济医学院附属梨园医院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400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华中科技大学同济医学院附属同济医院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401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怀化市第一人民医院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402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怀化市中医医院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403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淮安市第三人民医院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404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淮安市第四人民医院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405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淮安市第一人民医院（南京医科大学附属医院）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406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淮安市中医院本地</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407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淮安市肿瘤医院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408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淮北市人民医院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409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黄冈市中心医院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410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黄冈市中医医院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411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黄石市中心医院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412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黄石市中医医院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413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惠州市中心人民医院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414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惠州市中医医院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415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吉安市妇幼保健院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416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吉安市中心人民医院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417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吉林大学第二医院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418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吉林大学第一医院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419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吉林大学中日联谊医院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420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吉林省人民医院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421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吉林省中医院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422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吉林市吉化总院二部</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423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济南市儿童医院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424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济南市妇幼保健院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425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济南中心医院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426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济宁市第一人民医院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427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济宁医学院附属医院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428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嘉兴市第二医院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429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嘉兴市第一医院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430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嘉兴市中医院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431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建德市第一人民医院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432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建始县中医院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433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江苏大学附属医院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434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江苏省丹阳市中医院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435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江苏省第二中医院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436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江苏省高邮市中医医院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437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江苏省淮安市妇幼保健院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438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江苏省靖江市中医院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439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江苏省口腔医院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440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江苏省人民医院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441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江苏省沭阳县中医院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442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江苏省苏北人民医院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443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江苏省泰兴市人民医院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444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江苏省宜兴市中医医院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445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江苏省中西医结合医院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446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江苏省中医院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447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江苏省肿瘤医院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448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江苏省肿瘤医院-本地平台</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449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江苏盛泽医院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450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江西省妇幼保健院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451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江西省解放军第94医院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452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江西省皮肤病专科医院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453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江西省人民医院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454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江西省武警总队医院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455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江西省胸科医院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456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江西省中医药大学附属医院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457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江西省中医院国医堂</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458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江西省肿瘤医院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459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江阴市中医院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460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焦作市人民医院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461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揭阳市人民医院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462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解放军203医院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463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解放军305医院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464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解放军306医院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465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解放军307医院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466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解放军534医院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467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解放军第101医院（无锡市太湖医院）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468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解放军第264医院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469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解放军第302医院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470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解放军第309医院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471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解放军第一七四医院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472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解放军昆明总医院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473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解放军一八七医院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474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解放军总医院第一附属医院（304医院）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475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金华市第二医院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476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金华市人民医院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477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金华市中心医院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478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金华市中医院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479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晋城市妇幼保健院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480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晋城市人民医院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481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晋中市妇幼保健院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482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晋中市中医院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483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京东誉美肾病医院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484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荆门市第二人民医院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485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荆门市第一人民医院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486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荆门市中医医院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487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荆州市第一人民医院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488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荆州市妇幼保健院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489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荆州市中心医院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490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荆州市中医医院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491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景德镇市第二人民医院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492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景德镇市第三人民医院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493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景德镇市第一人民医院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494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景德镇市妇幼保健院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495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九江市第三人民医院（九江市肿瘤医院）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496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九江市第五人民医院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497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九江市第一人民医院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498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九江市中医院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499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九江学院附属医院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500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开封市第一人民医院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501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开封市中心医院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502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开封市中医院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503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开滦总医院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504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克拉玛依市中心医院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505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空军航空医学研究所附属医院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506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空军军医大学口腔医院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507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空军总医院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508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昆明市第一人民医院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509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昆明市儿童医院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510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昆明市妇幼保健院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511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昆明市延安医院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512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昆明市中医院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513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昆明医科大学第二附属医院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514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昆明医科大学第一附属医院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515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莱芜市人民医院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516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兰州大学第二医院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517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兰州大学第一医院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518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兰州军区总医院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519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兰州市第一人民医院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520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廊坊市医院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521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廊坊中医院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522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乐清市人民医院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523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乐山市人民医院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524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乐山市中医医院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525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梨园医院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526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丽水市第二人民医院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527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丽水市人民医院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528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丽水市中心医院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529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丽水市中医院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530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连云港市第一人民医院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531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连云港市东方医院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532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连云港市妇幼保健院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533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连云港市中医院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534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凉山彝族自治州第一人民医院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535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辽宁中医药大学附属医院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536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临安市人民医院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537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临沂市第二人民医院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538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临沂市妇幼保健院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539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临沂市人民医院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540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六盘水市妇幼保健院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541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陆军军医大学大坪医院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542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洛阳市第一中医院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543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洛阳市中心医院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544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漯河市中医院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545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马鞍山市市立医疗集团市人民医院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546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茂名市人民医院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547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茂名市中医院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548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眉山市人民医院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549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眉山市中医医院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550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梅州市人民医院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551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绵阳市第三人民医院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552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绵阳市中医医院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553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牡丹江市第二人民医院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554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牡丹江市第一人民医院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555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牡丹江市妇女儿童医院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556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牡丹江市康安医院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557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牡丹江市中医院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558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牡丹江心血管病医院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559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牡丹江医学院附属第二医院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560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牡丹江医学院附属红旗医院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561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南昌大学第四附属医院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562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南昌大学第一附属医院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563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南昌大学附属口腔医院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564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南昌市第九医院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565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南昌市第三医院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566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南昌市第一医院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567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南昌市生殖医院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568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南方医科大学南方医院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569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南方医科大学深圳医院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570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南方医科大学中西医结合医院（南方医科大学肿瘤中心）</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571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南方医科大学肿瘤中心（南方医科大学中西医结合医院）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572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南方医科大学珠江医院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573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南华大学附属第二医院（新院）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574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南华大学附属南华医院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575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南京鼓楼医院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576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南京海军414医院（上海长征南京分院）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577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南京军区福州总医院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578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南京军区南京总医院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579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南京脑科医院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580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南京市第二医院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581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南京市第一医院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582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南京市儿童医院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583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南京市妇幼保健院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584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南京市口腔医院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585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南京市仙林鼓楼医院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586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南京市胸科医院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587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南京市中西医结合医院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588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南京市中医院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589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南京医科大学第二附属医院东院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590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南京医科大学附属眼科医院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591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南京医科大学附属逸夫医院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592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南宁市第一人民医院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593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南宁市中医医院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594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南通大学附属医院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595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南通市第三人民医院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596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南通市第一人民医院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597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南通市妇幼保健院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598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南通市中医院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599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南通市肿瘤医院（北院）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600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南通市肿瘤医院（南院）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601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南通市肿瘤医院北院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602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南阳市第二人民医院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603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南阳市第一人民医院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604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南阳市南石医院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605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南阳市中心医院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606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南阳市中医院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607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南阳医专第一附属医院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608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南医大二附院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609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内江市第二人民医院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610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内江市第一人民医院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611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内江市中医医院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612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内蒙古包钢医院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613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内蒙古北方医院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614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内蒙古国际蒙医医院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615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内蒙古精神卫生中心</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616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内蒙古林业总医院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617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内蒙古民族大学附属医院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618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内蒙古医科大学第二附属医院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619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内蒙古医科大学附属医院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620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内蒙古医学院附属第二医院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621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内蒙古医学院附属第一医院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622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内蒙古中医医院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623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内蒙古自治区第四医院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624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内蒙古自治区妇幼保健院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625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内蒙古自治区人民医院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626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内蒙古自治区中医医院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627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内蒙古自治区肿瘤医院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628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宁波市第六医院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629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宁波市眼科医院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630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宁城县蒙医中医医院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631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宁城县中心医院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632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宁海县妇幼保健院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633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宁夏回族自治区人民医院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634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宁夏医科大学总医院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635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攀钢集团总医院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636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攀枝花市第三人民医院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637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攀枝花市妇幼保健院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638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攀枝花市中西医结合医院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639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攀枝花市中心医院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640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邳州市中医院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641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平顶山市第一人民医院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642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平湖市中医院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643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平煤神马医疗集团总医院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644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平阳县人民医院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645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濮阳市人民医院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646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濮阳市油田总医院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647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濮阳市中医院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648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普陀医院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649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齐齐哈尔市第一医院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650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齐齐哈尔市中医院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651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齐齐哈尔协育友好医院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652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齐齐哈尔医学院第一附属医院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653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齐齐哈尔医学院附属第二医院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654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齐齐哈尔医学院附属第三医院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655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秦皇岛市第一医院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656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青岛大学附属医院本部</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657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青岛大学附属医院东区</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658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青岛大学附属医院黄岛院区</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659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青岛大学附属医院崂山院区</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660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青岛大学附属医院市南院区</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661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青岛阜外医院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662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青岛市第五人民医院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663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青岛市妇女儿童医院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664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青岛市海慈医疗集团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665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青岛市市立医院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666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青岛市中心医院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667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青岛眼科医院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668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青海大学附属医院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669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青海红十字医院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670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青海省藏医院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671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青海省妇女儿童医院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672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青海省人民医院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673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青海省中医院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674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青海心脑血管病专科医院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675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衢州市人民医院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676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衢州市中医院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677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瑞安市妇幼保健院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678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瑞安市人民医院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679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三门峡市中心医院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680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三门峡市中医院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681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三亚市解放军四二五医院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682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三亚市人民医院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683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厦门大学附属第一医院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684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厦门大学附属福州第二医院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685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厦门大学附属中山医院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686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厦门市第二医院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687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厦门市第三医院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688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厦门市第五医院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689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厦门市儿童医院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690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厦门市妇幼保健院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691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厦门市仙岳医院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692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厦门市心血管病医院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693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厦门市中医院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694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山东大学第二医院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695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山东大学附属生殖医院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696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山东大学口腔医院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697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山东大学齐鲁医院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698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山东青岛中西医结合医院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699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山东省交通医院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700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山东省立医院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701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山东省千佛山医院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702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山东省职业卫生与职业病防治研究院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703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山东省中医药大学附属医院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704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山东省肿瘤医院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705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山西博爱医院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706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山西省第二人民医院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707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山西省儿童医院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708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山西省汾阳医院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709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山西省晋中市第一人民医院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710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山西省人民医院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711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山西省荣军医院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712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山西省心血管病医院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713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山西省肿瘤医院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714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山西医科大学第一医院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715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山西医科大学口腔医院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716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山西中医学院附属医院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717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陕西省结核病防治院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718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陕西省人民医院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719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陕西省中医医院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720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陕西省肿瘤医院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721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陕西中医学院第二附属医院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722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陕西中医学院附属医院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723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汕头大学医学院第一附属医院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724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汕头市中心医院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725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汕头市中医院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726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商丘市第一人民医院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727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上海第十人民医院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728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上海东方肝胆外科医院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729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上海复旦大学附属眼耳鼻喉科医院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730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上海国际医学中心</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731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上海交通大学附属第六人民医院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732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上海交通大学附属第六人民医院东院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733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上海交通大学附属第一人民医院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734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上海交通大学附属第一人民医院松江南院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735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上海交通大学附属儿童医院北京西路院区</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736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上海交通大学附属儿童医院普陀新院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737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上海交通大学附属胸科医院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738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上海交通大学医学院附属第九人民医院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739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上海交通大学医学院附属第三人民医院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740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上海交通大学医学院附属国际和平妇幼保健院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741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上海交通大学医学院附属仁济医院东院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742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上海交通大学医学院附属仁济医院南院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743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上海交通大学医学院附属仁济医院西院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744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上海交通大学医学院附属瑞金医院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745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上海交通大学医学院附属瑞金医院北院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746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上海交通大学医学院附属上海儿童医学中心</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747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上海交通大学医学院附属新华医院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748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上海交通大学医学院附属新华医院崇明分院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749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上海交通大学医学院苏州九龙医院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750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上海蓝十字脑科医院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751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上海市第七人民医院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752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上海市复旦大学附属公共卫生临床中心分部</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753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上海市复旦大学附属公共卫生临床中心金山总院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754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上海市光华中西医结合医院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755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上海市精神卫生中心</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756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上海市口腔病防治院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757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上海市皮肤病医院武夷路院区</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758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上海市普陀区中心医院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759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上海市眼病防治中心暨上海市眼科医院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760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上海市杨浦区中心医院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761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上海市质子重离子医院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762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上海市中西医结合医院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763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上海同济大学附属第十人民医院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764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上海同济大学附属同济医院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765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上海岳阳医院嘉兴分部</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766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上海中医药大学附属龙华医院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767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上海中医药大学附属曙光医院东院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768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上海中医药大学附属曙光医院西院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769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上海中医药大学附属岳阳中西医结合医院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770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上海中医药大学附属中医医院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771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上海中医药大学附属中医医院石门路门诊部</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772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上饶市人民医院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773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上虞市妇幼保健院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774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上虞市中医院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775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绍兴第二医院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776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绍兴市第六人民医院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777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绍兴市第七人民医院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778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绍兴市口腔医院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779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绍兴市人民医院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780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绍兴市中心医院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781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绍兴市中医院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782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绍兴文理学院附属医院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783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深圳第二人民医院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784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深圳市宝安区人民医院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785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深圳市宝安区中医院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786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深圳市妇幼保健院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787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深圳市龙岗中医院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788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深圳市龙华新区中心医院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789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深圳市罗湖区人民医院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790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深圳市南山区人民医院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791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深圳市人民医院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792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深圳市人民医院龙华分院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793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深圳市孙逸仙心血管医院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794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深圳市中医院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795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沈阳463医院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796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沈阳二0一医院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797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沈阳军区总医院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798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沈阳市第六人民医院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799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沈阳市第四人民医院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800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沈阳市第五人民医院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801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嵊州市人民医院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802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十堰市人民医院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803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十堰市太和医院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804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十堰市中西医结合医院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805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十堰市中医医院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806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石河子大学医学院第一附属医院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807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石家庄第四医院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808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石家庄市第一眼科医院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809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石家庄市第一医院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810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石家庄市妇产科医院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811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石家庄市中医院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812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首都儿科研究所附属儿童医院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813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首都医科大学附属北京安定医院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814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首都医科大学附属北京安贞医院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815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首都医科大学附属北京地坛医院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816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首都医科大学附属北京儿童医院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817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首都医科大学附属北京妇产医院北京妇幼保健院东院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818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首都医科大学附属北京妇产医院北京妇幼保健院西院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819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首都医科大学附属北京口腔医院天坛部</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820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首都医科大学附属北京口腔医院王府井部</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821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首都医科大学附属北京世纪坛医院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822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首都医科大学附属北京天坛医院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823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首都医科大学附属北京同仁医院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824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首都医科大学附属北京同仁医院南院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825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首都医科大学附属北京胸科医院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826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首都医科大学附属北京友谊医院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827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首都医科大学附属北京佑安医院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828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首都医科大学附属北京中医医院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829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首都医科大学宣武医院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830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双流县中医医院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831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顺德第一人民医院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832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顺德区妇幼保健院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833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朔州市中心医院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834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四川大学华西第四医院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835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四川大学华西口腔医院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836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四川大学华西医院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837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四川绵阳404医院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838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四川省八一康复中心</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839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四川省第二中医医院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840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四川省第四人民医院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841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四川省妇幼保健院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842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四川省骨科医院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843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四川省人民医院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844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四川省中西医结合医院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845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四川省肿瘤医院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846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苏州大学附属第二医院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847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苏州大学附属第一医院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848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苏州大学附属儿童医院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849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苏州科技城医院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850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苏州市广济医院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851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苏州市中医医院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852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宿迁市人民医院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853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宿迁市中医院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854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宿州市市立医院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855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宿州市中医院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856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随州市中心医院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857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遂宁市中心医院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858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台州市立医院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859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台州市中心医院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860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台州市中医院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861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太仓市第一人民医院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862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太钢医院（尖草坪）</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863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太原市第三人民医院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864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太原市第四人民医院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865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太原市妇幼保健院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866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太原市精神病医院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867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太原市中医医院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868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泰安市妇幼保健院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869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泰安市中心医院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870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泰康仙林鼓楼医院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871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泰州市姜堰中医院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872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泰州市人民医院北院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873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泰州市人民医院南院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874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泰州市中医院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875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唐山工人医院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876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唐山市妇幼保健院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877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唐山市人民医院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878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唐山市中医医院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879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天津市安定医院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880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天津市宝坻区人民医院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881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天津市第三中心医院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882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天津市第四中心医院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883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天津市第一中心医院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884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天津市环湖医院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885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天津市静海县医院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886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天津市整形外科医院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887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天津市肿瘤医院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888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天门市第一人民医院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889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天水市第一人民医院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890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天水市中医医院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891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天台县人民医院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892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通辽市医院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893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同济大学附属第一妇婴保健院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894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同济大学附属第一妇婴保健院东院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895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同济大学附属第一妇婴保健院西院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896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同济大学附属口腔医院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897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同济大学附属上海市东方医院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898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同济大学附属上海市肺科医院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899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同济大学附属上海市肺科医院延庆路门诊部</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900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同济附属东方医院南院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901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桐乡市第一人民医院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902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桐乡市中医医院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903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铜陵市人民医院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904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皖南医学院第二附属医院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905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皖南医学院弋矶山医院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906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潍坊人民医院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907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潍坊医学院附属医院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908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潍坊中医院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909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卫生部北京医院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910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渭南市妇幼保健院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911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渭南市中心医院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912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温江区妇幼保健院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913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温江区人民医院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914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温州市第七人民医院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915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温州市人民医院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916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温州市中西医结合医院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917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温州市中心医院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918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温州市中医院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919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温州医科大学附属第二医院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920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温州医科大学附属眼视光医院杭州院区</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921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温州医学院附属第二医院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922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温州医学院附属眼视光医院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923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乌海市人民医院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924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乌兰浩特市医院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925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乌鲁木齐市友谊医院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926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无锡第三人民医院（无锡市中西医结合医院）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927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无锡市第二人民医院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928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无锡市第四人民医院（无锡市肿瘤医院）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929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无锡市第五人民医院（无锡市传染病医院）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930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无锡市妇幼保健院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931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无锡市精神卫生中心</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932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无锡市人民医院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933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无锡市中医医院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934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梧州市妇幼保健院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935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梧州市工人医院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936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梧州市中医医院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937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武大中南医院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938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武汉大学口腔医院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939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武汉大学人民医院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940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武汉科技大学附属天佑医院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941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武汉市第三医院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942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武汉市第四医院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943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武汉市第五医院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944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武汉市第一医院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945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武汉市妇女儿童医疗保健中心</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946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武汉市精神卫生中心（六角亭院区）</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947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武汉市普爱医院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948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武汉市普仁医院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949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武汉市亚洲心脏病医院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950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武汉市医疗救治中心</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951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武汉市职业病防治院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952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武汉市中心医院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953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武汉市中医院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954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武汉协和医院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955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武进中医医院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956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武警安徽省总队医院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957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武警北京总队第二医院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958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武警北京总队医院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959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武警福建总队医院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960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武警河南省总队医院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961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武警后勤学院附属医院（原武警医学院附属医院）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962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武警湖北总队医院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963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武警内蒙古总队医院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964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武警山西总队医院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965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武警陕西省总队医院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966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武警上海市总队口腔科医院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967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武警四川总队医院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968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武警新疆总队医院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969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武警浙江总队杭州医院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970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武警浙江总队嘉兴医院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971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武警总医院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972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西安第五医院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973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西安交大第二附属医院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974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西安交大附属一院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975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西安交通大学口腔医院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976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西安市第八医院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977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西安市第九医院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978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西安市第三医院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979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西安市第四医院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980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西安市第一医院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981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西安市儿童医院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982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西安市红会医院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983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西安市精神卫生中心</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984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西安市胸科医院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985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西安市中心医院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986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西安市中医医院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987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西安医学院第二附属医院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988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西安医学院附属医院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989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西安医学院一附院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990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西安中医脑病医院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991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西北妇女儿童医院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992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西京医院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993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西宁市第一人民医院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994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锡林郭勒盟医院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995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咸宁市中心医院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996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咸宁市中医医院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997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咸阳市第一人民医院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998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咸阳市中心医院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999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湘南学院附属医院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1000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湘潭市第一人民医院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1001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湘潭市妇幼保健院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1002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湘潭市中心医院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1003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湘潭市中医院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1004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湘雅医院健康管理中心</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1005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襄阳市第一人民医院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1006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襄阳市中心医院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1007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襄阳市中医医院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1008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孝感市中医医院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1009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忻州市人民医院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1010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新钢中心医院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1011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新疆昌吉回族自治州人民医院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1012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新疆昌吉州中医院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1013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新疆生产建设兵团医院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1014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新疆维吾尔自治区人民医院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1015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新疆维吾尔自治区维吾尔医医院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1016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新疆维吾尔自治区中医医院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1017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新疆伊犁州友谊医院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1018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新疆医科大学第二附属医院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1019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新疆医科大学第五附属医院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1020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新疆医科大学第一附属医院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1021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新疆肿瘤医院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1022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新疆自治区中医院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1023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新乡市第一人民医院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1024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新乡市中心医院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1025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新乡医学院第一附属医院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1026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新余市妇幼保健院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1027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新余市人民医院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1028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信阳市中心医院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1029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修水县中医院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1030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徐州矿务集团总医院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1031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徐州市第一人民医院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1032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徐州市妇幼保健院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1033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徐州市中心医院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1034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徐州市中医院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1035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徐州医学院附属医院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1036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许昌市中心医院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1037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许昌市中医院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1038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烟台解放军107医院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1039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烟台毓璜顶医院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1040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烟台中医医院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1041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延安大学附属医院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1042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延安市中医院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1043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盐城市第四人民医院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1044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盐城市妇幼保健院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1045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盐城市一院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1046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盐城市中医院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1047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眼耳鼻喉科医院宝庆分院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1048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扬州市第一人民医院东区医院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1049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扬州市第一人民医院西区医院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1050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扬州市中医院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1051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阳江市人民医院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1052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阳明医院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1053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一汽总医院吉林大学第四医院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1054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医科院肿瘤医院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1055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宜宾市第二人民医院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1056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宜宾市第一人民医院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1057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宜昌市第二人民医院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1058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宜昌市第一人民医院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1059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宜春市人民医院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1060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宜兴市人民医院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1061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义乌市中心医院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1062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义乌市中医院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1063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益阳市第二人民医院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1064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益阳市第一中医医院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1065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益阳市中心医院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1066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银川市第一人民医院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1067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银川市妇幼保健院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1068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银川市中医院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1069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鄞州人民医院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1070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营口市中心医院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1071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营口市中医院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1072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永嘉县中医医院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1073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永康市第一人民医院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1074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永康市妇幼保健院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1075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余姚市人民医院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1076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榆林市第二医院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1077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榆林市第一医院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1078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榆林市中医院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1079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玉环中医院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1080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玉林市第一人民医院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1081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玉林市中西医结合骨科医院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1082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岳阳市第二人民医院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1083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岳阳市一人民医院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1084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岳阳市中医院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1085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岳阳医院青海路特诊部</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1086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云浮市人民医院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1087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云南省第二人民医院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1088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云南省第一人民医院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1089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云南省交通中心医院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1090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云南省中医医院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1091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云南省肿瘤医院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1092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运城市妇幼保健院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1093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运城市中心医院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1094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运城市中医医院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1095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扎兰屯市中蒙医院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1096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湛江196医院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1097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湛江市第二人民医院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1098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湛江市第一中医院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1099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湛江市中心人民医院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1100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张家港第一人民医院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1101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张家港市妇幼保健所</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1102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张家港市中医医院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1103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张家界市人民医院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1104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张掖市人民医院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1105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长春市儿童医院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1106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长春市妇产医院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1107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长春市中心医院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1108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长春市中医院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1109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长沙市第一医院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1110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长沙市妇幼保健院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1111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长沙市中心医院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1112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长兴县妇幼保健院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1113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长兴县人民医院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1114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长兴县中医院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1115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长治市中医院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1116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长治医学院附属和平医院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1117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浙江大学医学院附属第二医院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1118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浙江大学医学院附属第四医院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1119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浙江大学医学院附属第一医院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1120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浙江大学医学院附属儿童医院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1121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浙江大学医学院附属儿童医院(滨江新院区)</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1122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浙江大学医学院附属妇产科医院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1123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浙江大学医学院附属邵逸夫医院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1124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浙江衢化医院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1125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浙江省口腔医院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1126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浙江省立同德医院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1127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浙江省皮肤病防治研究所</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1128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浙江省人民医院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1129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浙江省台州医院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1130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浙江省新华医院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1131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浙江省中医院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1132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浙江省中医院下沙院区</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1133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浙江省肿瘤医院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1134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浙江医院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1135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浙江中医药大学附属第三医院莫干山路院区</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1136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浙江中医药大学附属第三医院庆春路院区</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1137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浙江中医药大学附属温州中医院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1138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镇江市第三人民医院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1139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镇江市第一人民医院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1140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镇江市妇幼保健院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1141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镇江市中医院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1142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郑州大学第二附属医院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1143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郑州大学第五附属医院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1144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郑州大学第一附属医院郑东院区</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1145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郑州大学附属郑州中心医院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1146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郑州人民医院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1147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郑州市第七人民医院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1148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郑州市第一人民医院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1149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郑州市儿童医院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1150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郑州市骨科医院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1151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郑州市中心医院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1152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郑州市中医院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1153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中国人民解放军169医院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1154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中国人民解放军成都军区81骨科医院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1155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中国人民解放军第117医院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1156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中国人民解放军第150医院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1157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中国人民解放军第161医院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1158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中国人民解放军第171医院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1159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中国人民解放军第202医院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1160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中国人民解放军第208医院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1161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中国人民解放军第253医院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1162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中国人民解放军第323医院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1163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中国人民解放军第3医院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1164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中国人民解放军第411医院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1165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中国人民解放军第421医院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1166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中国人民解放军第451医院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1167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中国人民解放军第454医院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1168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中国人民解放军第455医院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1169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中国人民解放军第458医院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1170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中国人民解放军第474医院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1171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中国人民解放军第85医院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1172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中国人民解放军第88医院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1173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中国人民解放军第二五四医院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1174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中国人民解放军第三〇三医院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1175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中国人民解放军第四五四医院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1176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中国人民解放军第五医院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1177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中国人民解放军第一O五医院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1178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中国人民解放军第一八一医院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1179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中国人民解放军第一医院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1180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中国人民解放军海军总医院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1181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中国人民解放军武汉457医院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1182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中国人民解放军新疆军区总医院 </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1183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中国人民解放军一五0中心医院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1184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中国人民解放军总医院(301医院)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1185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中国人民武装警察部队上海市总队医院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1186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中国医科大学附属第一医院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1187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中国医科大学附属盛京医院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1188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中国医学科学院整形外科医院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1189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中国中医科学院广安门医院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1190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中国中医科学院广安门医院南区</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1191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中国中医科学院望京医院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1192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中国中医科学院西苑医院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1193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中航工业3201医院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1194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中航工业三六三医院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1195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中南大学湘雅二医院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1196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中南大学湘雅三医院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1197</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中南大学湘雅医院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1198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中日友好医院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1199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中山大学附六医院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1200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中山大学附属第三医院岭南医院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1201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中山大学附属第三医院天河医院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1202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中山大学附属口腔医院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1203</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中山市博爱医院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1204</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中山市小榄人民医院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1205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中山市中医院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1206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重庆第三军医大学大坪医院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1207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重庆三峡中心医院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1208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重庆市第九人民医院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1209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重庆市急救医疗中心</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1210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重庆市肿瘤医院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1211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重庆医科大学附属大学城医院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1212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重庆医科大学附属第一医院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1213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重庆医科大学附属儿童医院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1214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重庆医科大学附属永川医院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1215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舟山市妇幼保健院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1216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舟山市中医骨伤联合医院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1217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舟山医院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1218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周口市中心医院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1219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珠海市妇幼保健院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1220</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珠海市人民医院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1221</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株洲市中心医院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1222</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株洲市中医院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1223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诸暨市人民医院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1224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诸暨市中医医院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1225</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驻马店市精神病医院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1226</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驻马店市中心医院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1227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准格尔旗中蒙医医院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1228</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资阳市第一人民医院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1229</w:t>
            </w:r>
          </w:p>
        </w:tc>
        <w:tc>
          <w:tcPr>
            <w:tcW w:w="62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自贡市第四人民医院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1230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巴马县人民医院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1231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北海市第二人民医院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1232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北海市人民医院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1233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北京丰台医院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1234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北京市朝阳区第二医院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1235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北京市朝阳区中医医院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1236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北京市垂杨柳医院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1237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北京市大兴区人民医院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1238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北京市大兴区中医医院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1239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北京市第二医院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1240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北京市第六医院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1241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北京市房山区第一医院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1242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北京市房山区良乡医院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1243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北京市海淀医院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1244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北京市和平里医院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1245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北京市怀柔区第一医院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1246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北京市怀柔区中医医院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1247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北京市回民医院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1248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北京市监狱管理局中心医院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1249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北京市健宫医院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1250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北京市门头沟区医院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1251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北京市门头沟区中医医院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1252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北京市密云县医院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1253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北京市平谷区医院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1254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北京市平谷区中医医院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1255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北京市普仁医院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1256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北京市石景山医院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1257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北京市顺义区医院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1258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北京市通州区潞河医院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1259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北京市通州区中医医院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1260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北京市西城区平安医院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1261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北京市延庆县医院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1262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北京市中关村医院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1263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北京市中西医结合医院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1264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北京首都国际机场医院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1265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北京水利医院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1266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北京中医药大学第三附属医院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1267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北京中医药大学附属护国寺中医医院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1268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潮州医院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1269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澄江县人民医院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1270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大埔县人民医院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1271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东川区第一人民医院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1272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东莞市虎门医院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1273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东莞市石龙人民医院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1274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东莞市长安医院(民营)</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1275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东莞市中堂医院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1276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东兰县人民医院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1277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峨山县人民医院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1278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丰顺县人民医院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1279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佛冈县人民医院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1280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广东省遂溪县人民医院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1281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广东省吴川市人民医院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1282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广东省徐闻县人民医院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1283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广东医学院附属韶关医院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1284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广通铁路医院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1285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广西八一铁合金厂医院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1286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广西巴马县民族医院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1287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广西百色市中医院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1288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广西东兰县中医院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1289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广西贵港市桥圩第一人民医院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1290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广西贵港市中医院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1291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广西桂林市第三人民医院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1292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广西桂林市中西医结合医院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1293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广西合山市中医院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1294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广西河池市人民医院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1295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广西柳州市第二人民医院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1296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广西柳州市第三人民医院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1297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广西柳州市第四人民医院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1298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广西柳州铁路局南宁分局医院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1299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广西民族学院医院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1300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广西南宁民族医院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1301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广西南宁市第五人民医院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1302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广西南宁市健民医院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1303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广西南宁市郊区人民医院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1304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广西南宁市矿务局医院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1305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广西农垦医院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1306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广西梧州市人民医院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1307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广西武宣中医院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1308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广西忻城县中医院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1309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广西中医学院第二附属医院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1310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贵港市人民医院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1311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桂林市第二人民医院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1312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桂林市人民医院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1313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桂平市人民医院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1314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航空工业中心医院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1315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合山矿务局职工医院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1316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合山市人民医院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1317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和平县人民医院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1318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河池地区第一人民医院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1319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河池地区中医院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1320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华宁县人民医院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1321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惠东县人民医院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1322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惠东县中医院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1323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惠州市第二人民医院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1324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惠州市惠阳区第一人民医院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1325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惠州市人民医院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1326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江川县人民医院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1327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蕉岭县人民医院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1328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解放军第518医院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1329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解放军武警部广西总队医院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1330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昆明市安宁市人民医院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1331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昆明市呈贡县人民医院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1332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昆明市第二人民医院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1333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昆明市第三人民医院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1334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昆明市富民县人民医院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1335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昆明市官渡区板桥中心医院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1336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昆明市官渡区人民医院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1337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昆明市官渡区中医院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1338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昆明市晋宁县第二人民医院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1339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昆明市晋宁县人民医院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1340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昆明市盘龙区红十字会医院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1341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昆明市盘龙区人民医院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1342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昆明市盘龙区中医院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1343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昆明市五华区人民医院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1344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昆明市西山区人民医院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1345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昆明市延安医院分院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1346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昆明医学院第二附属医院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1347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昆明医学院第三附属医院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1348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昆明医学院第一附属医院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1349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乐昌市人民医院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1350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乐昌市中医院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1351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连南县人民医院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1352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连平县人民医院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1353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连州市人民医院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1354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连州市中医院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1355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柳城县人民医院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1356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柳州市第一人民医院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1357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柳州铁路局金城江医院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1358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龙川县人民医院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1359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龙门县人民医院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1360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禄丰县人民医院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1361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罗城县人民医院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1362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罗定市妇幼保健院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1363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罗定市人民医院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1364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罗定市中医院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1365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梅县人民医院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1366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梅州市第三人民医院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1367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梅州市中医院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1368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蒙山县人民医院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1369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密云县中医院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1370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南澳县人民医院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1371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南丹县人民医院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1372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南宁地区人民医院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1373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南宁市第四人民医院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1374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南宁市中医院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1375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南雄市人民医院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1376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平远县人民医院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1377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清华大学玉泉医院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1378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清新县人民医院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1379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清远市清城区人民医院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1380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清远市中医院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1381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庆安集团有限公司职工医院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1382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饶平县人民医院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1383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仁化县人民医院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1384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乳源县人民医院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1385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陕西省第二人民医院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1386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陕西省建材医院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1387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陕西省交通医院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1388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陕西正和医院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1389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汕头潮阳耀辉医院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1390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汕头市潮阳区人民医院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1391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汕头市潮阳区中医院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1392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汕头市澄海区人民医院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1393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汕头市第四人民医院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1394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汕头市妇幼保健院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1395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上海方塔中医医院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1396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上海海滨医院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1397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上海黄浦区中心医院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1398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上海建工医院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1399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上海申江医院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1400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上海市第八人民医院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1401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上海市东医院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1402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上海市黄浦区中西医结合医院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1403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上海市静安区北站医院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1404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上海市静安区老年医院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1405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上海市静安区市北医院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1406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上海市静安区中心医院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1407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上海市利群医院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1408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上海市普陀人民医院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1409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上海市仁和医院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1410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上海市市二医院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1411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上海市同仁医院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1412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上海市长宁区天山中医医院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1413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上海市长宁区中心医院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1414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上海市中西医结合医院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1415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韶钢医院集团有限公司医院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1416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韶关市妇幼保健院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1417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韶关市曲江区人民医院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1418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韶关市粤北第三人民医院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1419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韶关市中医院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1420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韶关铁路医院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1421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始兴县人民医院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1422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首都医科大学中医药学院附属鼓楼中医医院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1423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天峨县人民医院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1424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铁道部第一工程局西安中心医院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1425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通海县人民医院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1426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同济大学医学院附属铁路医院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1427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翁源县人民医院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1428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梧州地区人民医院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1429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梧州市第二人民医院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1430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五华县人民医院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1431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五华县中医院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1432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武警北京市总队第三医院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1433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西安航天医院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1434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西安市北方医院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1435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西安市第五医院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1436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西安市东方医院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1437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西安市华山中心医院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1438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西安唐城医院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1439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忻城县人民医院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1440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新丰县人民医院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1441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新平县人民医院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1442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新兴县人民医院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1443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新兴县中医院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1444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兴宁市人民医院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1445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阳山县人民医院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1446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宜州市人民医院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1447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宜州市中医院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1448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易门县人民医院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1449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英德市人民医院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1450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玉林地区人民医院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1451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玉林市人民医院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1452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玉溪市第三人民医院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1453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玉溪市人民医院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1454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玉溪市中医院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1455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郁南县人民医院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1456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元江县人民医院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1457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云南光学仪器厂职工医院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1458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云南昆明铁路分局中心医院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1459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云南昆明医学院附属康复医院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1460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云南省安宁市妇幼保健院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1461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云南省安宁市中医院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1462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云南省成都军区昆明总医院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1463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云南省呈贡县中医院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1464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云南省澄江县中医院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1465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云南省第三人民医院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1466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云南省峨山县中医院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1467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云南省妇幼保健院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1468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云南省工人医院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1469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云南省海口磷矿职工医院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1470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云南省红十字会医院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1471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云南省华宁县中医院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1472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云南省江川县中医院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1473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云南省交通局中心职工医院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1474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云南省康复医院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1475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云南省昆明市口腔医院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1476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云南省昆明市五华区中医院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1477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云南省林业中心医院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1478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云南省禄丰县罗次中心医院</w:t>
            </w:r>
          </w:p>
        </w:tc>
      </w:tr>
      <w:tr>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1479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云南省禄丰县中医院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1480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云南省商业厅职工医院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1481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云南省通海县中医院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1482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云南省新平县中医院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1483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云南省易门县中医院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1484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云南省邮电医院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1485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云南省元江县中医院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1486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云南冶炼厂职工医院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1487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云南中医学院附属医院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1488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昭平县人民医院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1489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中国福利会国际和平妇幼保健院</w:t>
            </w:r>
          </w:p>
        </w:tc>
      </w:tr>
      <w:tr>
        <w:tblPrEx>
          <w:tblCellMar>
            <w:top w:w="0" w:type="dxa"/>
            <w:left w:w="108" w:type="dxa"/>
            <w:bottom w:w="0" w:type="dxa"/>
            <w:right w:w="108" w:type="dxa"/>
          </w:tblCellMar>
        </w:tblPrEx>
        <w:trPr>
          <w:trHeight w:val="9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1490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中国航天科工集团七三一医院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1491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中国人民解放军66400部队医院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1492</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中国人民解放军第二六三医院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1493</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中国人民解放军第三一六医院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1494</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中国人民解放军第五十七中心医院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1495</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中山市埠湖医院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1496</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中山市陈星海医院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1497</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中山市黄圃人民医院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1498</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中山市火炬开发区医院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1499</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中山市三乡医院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1500</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中山市坦洲医院</w:t>
            </w:r>
          </w:p>
        </w:tc>
      </w:tr>
      <w:tr>
        <w:tblPrEx>
          <w:tblCellMar>
            <w:top w:w="0" w:type="dxa"/>
            <w:left w:w="108" w:type="dxa"/>
            <w:bottom w:w="0" w:type="dxa"/>
            <w:right w:w="108" w:type="dxa"/>
          </w:tblCellMar>
        </w:tblPrEx>
        <w:trPr>
          <w:trHeight w:val="33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1501</w:t>
            </w:r>
          </w:p>
        </w:tc>
        <w:tc>
          <w:tcPr>
            <w:tcW w:w="620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紫金县人民医院</w:t>
            </w:r>
          </w:p>
        </w:tc>
      </w:tr>
    </w:tbl>
    <w:p>
      <w:pPr>
        <w:rPr>
          <w:rFonts w:ascii="黑体" w:hAnsi="黑体" w:eastAsia="黑体"/>
        </w:rPr>
      </w:pPr>
      <w:r>
        <w:rPr>
          <w:rFonts w:ascii="黑体" w:hAnsi="黑体" w:eastAsia="黑体"/>
        </w:rPr>
        <w:br w:type="page"/>
      </w:r>
    </w:p>
    <w:p>
      <w:pPr>
        <w:spacing w:line="360" w:lineRule="auto"/>
        <w:rPr>
          <w:rFonts w:hint="eastAsia" w:ascii="黑体" w:hAnsi="黑体" w:eastAsia="黑体"/>
          <w:b/>
          <w:kern w:val="0"/>
          <w:sz w:val="32"/>
          <w:szCs w:val="28"/>
          <w:lang w:eastAsia="zh-CN"/>
        </w:rPr>
      </w:pPr>
      <w:r>
        <w:rPr>
          <w:rFonts w:hint="eastAsia" w:ascii="黑体" w:hAnsi="黑体" w:eastAsia="黑体"/>
          <w:b/>
          <w:kern w:val="0"/>
          <w:sz w:val="32"/>
          <w:szCs w:val="28"/>
        </w:rPr>
        <w:t>附件</w:t>
      </w:r>
      <w:r>
        <w:rPr>
          <w:rFonts w:hint="eastAsia" w:ascii="黑体" w:hAnsi="黑体" w:eastAsia="黑体"/>
          <w:b/>
          <w:kern w:val="0"/>
          <w:sz w:val="32"/>
          <w:szCs w:val="28"/>
          <w:lang w:val="en-US" w:eastAsia="zh-CN"/>
        </w:rPr>
        <w:t>4</w:t>
      </w:r>
      <w:r>
        <w:rPr>
          <w:rFonts w:hint="eastAsia" w:ascii="黑体" w:hAnsi="黑体" w:eastAsia="黑体"/>
          <w:b/>
          <w:kern w:val="0"/>
          <w:sz w:val="32"/>
          <w:szCs w:val="28"/>
        </w:rPr>
        <w:t>：</w:t>
      </w:r>
      <w:r>
        <w:rPr>
          <w:rFonts w:hint="eastAsia" w:ascii="黑体" w:hAnsi="黑体" w:eastAsia="黑体"/>
          <w:b/>
          <w:kern w:val="0"/>
          <w:sz w:val="32"/>
          <w:szCs w:val="28"/>
          <w:lang w:eastAsia="zh-CN"/>
        </w:rPr>
        <w:t>服务险种列表</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9"/>
        <w:gridCol w:w="6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tcPr>
          <w:p>
            <w:pPr>
              <w:spacing w:line="360" w:lineRule="auto"/>
              <w:jc w:val="center"/>
              <w:rPr>
                <w:rFonts w:hint="default" w:ascii="黑体" w:hAnsi="黑体" w:eastAsia="黑体"/>
                <w:b/>
                <w:kern w:val="0"/>
                <w:sz w:val="32"/>
                <w:szCs w:val="32"/>
                <w:vertAlign w:val="baseline"/>
                <w:lang w:val="en-US" w:eastAsia="zh-CN"/>
              </w:rPr>
            </w:pPr>
            <w:r>
              <w:rPr>
                <w:rFonts w:hint="eastAsia" w:ascii="黑体" w:hAnsi="黑体" w:eastAsia="黑体"/>
                <w:b/>
                <w:kern w:val="0"/>
                <w:sz w:val="32"/>
                <w:szCs w:val="32"/>
                <w:vertAlign w:val="baseline"/>
                <w:lang w:val="en-US" w:eastAsia="zh-CN"/>
              </w:rPr>
              <w:t>服务内容</w:t>
            </w:r>
          </w:p>
        </w:tc>
        <w:tc>
          <w:tcPr>
            <w:tcW w:w="6413" w:type="dxa"/>
          </w:tcPr>
          <w:p>
            <w:pPr>
              <w:spacing w:line="360" w:lineRule="auto"/>
              <w:jc w:val="center"/>
              <w:rPr>
                <w:rFonts w:hint="eastAsia" w:ascii="黑体" w:hAnsi="黑体" w:eastAsia="黑体"/>
                <w:b/>
                <w:kern w:val="0"/>
                <w:sz w:val="32"/>
                <w:szCs w:val="32"/>
                <w:vertAlign w:val="baseline"/>
                <w:lang w:eastAsia="zh-CN"/>
              </w:rPr>
            </w:pPr>
            <w:r>
              <w:rPr>
                <w:rFonts w:hint="eastAsia" w:ascii="黑体" w:hAnsi="黑体" w:eastAsia="黑体"/>
                <w:b/>
                <w:kern w:val="0"/>
                <w:sz w:val="32"/>
                <w:szCs w:val="32"/>
                <w:vertAlign w:val="baseline"/>
                <w:lang w:eastAsia="zh-CN"/>
              </w:rPr>
              <w:t>服务险种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vMerge w:val="restart"/>
            <w:vAlign w:val="center"/>
          </w:tcPr>
          <w:p>
            <w:pPr>
              <w:spacing w:line="360" w:lineRule="auto"/>
              <w:jc w:val="center"/>
              <w:rPr>
                <w:rFonts w:hint="eastAsia" w:ascii="黑体" w:hAnsi="黑体" w:eastAsia="黑体"/>
                <w:b w:val="0"/>
                <w:bCs/>
                <w:kern w:val="0"/>
                <w:sz w:val="32"/>
                <w:szCs w:val="32"/>
                <w:vertAlign w:val="baseline"/>
                <w:lang w:eastAsia="zh-CN"/>
              </w:rPr>
            </w:pPr>
            <w:r>
              <w:rPr>
                <w:rFonts w:hint="eastAsia" w:ascii="黑体" w:hAnsi="黑体" w:eastAsia="黑体"/>
                <w:b w:val="0"/>
                <w:bCs/>
                <w:kern w:val="0"/>
                <w:sz w:val="32"/>
                <w:szCs w:val="32"/>
                <w:vertAlign w:val="baseline"/>
                <w:lang w:eastAsia="zh-CN"/>
              </w:rPr>
              <w:t>重疾绿通服务</w:t>
            </w:r>
          </w:p>
        </w:tc>
        <w:tc>
          <w:tcPr>
            <w:tcW w:w="6413" w:type="dxa"/>
          </w:tcPr>
          <w:p>
            <w:pPr>
              <w:spacing w:line="360" w:lineRule="auto"/>
              <w:jc w:val="center"/>
              <w:rPr>
                <w:rFonts w:hint="eastAsia" w:ascii="黑体" w:hAnsi="黑体" w:eastAsia="黑体"/>
                <w:b w:val="0"/>
                <w:bCs/>
                <w:kern w:val="0"/>
                <w:sz w:val="32"/>
                <w:szCs w:val="32"/>
                <w:vertAlign w:val="baseline"/>
                <w:lang w:eastAsia="zh-CN"/>
              </w:rPr>
            </w:pPr>
            <w:r>
              <w:rPr>
                <w:rFonts w:hint="eastAsia" w:ascii="黑体" w:hAnsi="黑体" w:eastAsia="黑体"/>
                <w:b w:val="0"/>
                <w:bCs/>
                <w:kern w:val="0"/>
                <w:sz w:val="32"/>
                <w:szCs w:val="32"/>
                <w:vertAlign w:val="baseline"/>
                <w:lang w:eastAsia="zh-CN"/>
              </w:rPr>
              <w:t>国宝人寿巴适一生终身重大疾病保险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vMerge w:val="continue"/>
          </w:tcPr>
          <w:p>
            <w:pPr>
              <w:spacing w:line="360" w:lineRule="auto"/>
              <w:jc w:val="center"/>
              <w:rPr>
                <w:rFonts w:hint="eastAsia" w:ascii="黑体" w:hAnsi="黑体" w:eastAsia="黑体"/>
                <w:b w:val="0"/>
                <w:bCs/>
                <w:kern w:val="0"/>
                <w:sz w:val="32"/>
                <w:szCs w:val="32"/>
                <w:vertAlign w:val="baseline"/>
                <w:lang w:eastAsia="zh-CN"/>
              </w:rPr>
            </w:pPr>
          </w:p>
        </w:tc>
        <w:tc>
          <w:tcPr>
            <w:tcW w:w="6413" w:type="dxa"/>
          </w:tcPr>
          <w:p>
            <w:pPr>
              <w:spacing w:line="360" w:lineRule="auto"/>
              <w:jc w:val="center"/>
              <w:rPr>
                <w:rFonts w:hint="eastAsia" w:ascii="黑体" w:hAnsi="黑体" w:eastAsia="黑体"/>
                <w:b w:val="0"/>
                <w:bCs/>
                <w:kern w:val="0"/>
                <w:sz w:val="32"/>
                <w:szCs w:val="32"/>
                <w:vertAlign w:val="baseline"/>
                <w:lang w:eastAsia="zh-CN"/>
              </w:rPr>
            </w:pPr>
            <w:r>
              <w:rPr>
                <w:rFonts w:hint="eastAsia" w:ascii="黑体" w:hAnsi="黑体" w:eastAsia="黑体"/>
                <w:b w:val="0"/>
                <w:bCs/>
                <w:kern w:val="0"/>
                <w:sz w:val="32"/>
                <w:szCs w:val="32"/>
                <w:vertAlign w:val="baseline"/>
                <w:lang w:eastAsia="zh-CN"/>
              </w:rPr>
              <w:t>国宝人寿巴适一生（智选版）重大疾病保险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vMerge w:val="continue"/>
          </w:tcPr>
          <w:p>
            <w:pPr>
              <w:spacing w:line="360" w:lineRule="auto"/>
              <w:jc w:val="center"/>
              <w:rPr>
                <w:rFonts w:hint="eastAsia" w:ascii="黑体" w:hAnsi="黑体" w:eastAsia="黑体"/>
                <w:b w:val="0"/>
                <w:bCs/>
                <w:kern w:val="0"/>
                <w:sz w:val="32"/>
                <w:szCs w:val="32"/>
                <w:vertAlign w:val="baseline"/>
                <w:lang w:eastAsia="zh-CN"/>
              </w:rPr>
            </w:pPr>
          </w:p>
        </w:tc>
        <w:tc>
          <w:tcPr>
            <w:tcW w:w="6413" w:type="dxa"/>
          </w:tcPr>
          <w:p>
            <w:pPr>
              <w:spacing w:line="360" w:lineRule="auto"/>
              <w:jc w:val="center"/>
              <w:rPr>
                <w:rFonts w:hint="eastAsia" w:ascii="黑体" w:hAnsi="黑体" w:eastAsia="黑体"/>
                <w:b w:val="0"/>
                <w:bCs/>
                <w:kern w:val="0"/>
                <w:sz w:val="32"/>
                <w:szCs w:val="32"/>
                <w:vertAlign w:val="baseline"/>
                <w:lang w:eastAsia="zh-CN"/>
              </w:rPr>
            </w:pPr>
            <w:r>
              <w:rPr>
                <w:rFonts w:hint="eastAsia" w:ascii="黑体" w:hAnsi="黑体" w:eastAsia="黑体"/>
                <w:b w:val="0"/>
                <w:bCs/>
                <w:kern w:val="0"/>
                <w:sz w:val="32"/>
                <w:szCs w:val="32"/>
                <w:vertAlign w:val="baseline"/>
                <w:lang w:eastAsia="zh-CN"/>
              </w:rPr>
              <w:t>国宝人寿真爱你重大疾病保险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vMerge w:val="continue"/>
          </w:tcPr>
          <w:p>
            <w:pPr>
              <w:spacing w:line="360" w:lineRule="auto"/>
              <w:jc w:val="center"/>
              <w:rPr>
                <w:rFonts w:hint="eastAsia" w:ascii="黑体" w:hAnsi="黑体" w:eastAsia="黑体"/>
                <w:b w:val="0"/>
                <w:bCs/>
                <w:kern w:val="0"/>
                <w:sz w:val="32"/>
                <w:szCs w:val="32"/>
                <w:vertAlign w:val="baseline"/>
                <w:lang w:eastAsia="zh-CN"/>
              </w:rPr>
            </w:pPr>
          </w:p>
        </w:tc>
        <w:tc>
          <w:tcPr>
            <w:tcW w:w="6413" w:type="dxa"/>
          </w:tcPr>
          <w:p>
            <w:pPr>
              <w:spacing w:line="360" w:lineRule="auto"/>
              <w:jc w:val="center"/>
              <w:rPr>
                <w:rFonts w:hint="eastAsia" w:ascii="黑体" w:hAnsi="黑体" w:eastAsia="黑体"/>
                <w:b w:val="0"/>
                <w:bCs/>
                <w:kern w:val="0"/>
                <w:sz w:val="32"/>
                <w:szCs w:val="32"/>
                <w:vertAlign w:val="baseline"/>
                <w:lang w:eastAsia="zh-CN"/>
              </w:rPr>
            </w:pPr>
            <w:r>
              <w:rPr>
                <w:rFonts w:hint="eastAsia" w:ascii="黑体" w:hAnsi="黑体" w:eastAsia="黑体"/>
                <w:b w:val="0"/>
                <w:bCs/>
                <w:kern w:val="0"/>
                <w:sz w:val="32"/>
                <w:szCs w:val="32"/>
                <w:vertAlign w:val="baseline"/>
                <w:lang w:eastAsia="zh-CN"/>
              </w:rPr>
              <w:t>国宝人寿安逸一生重大疾病保险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vMerge w:val="restart"/>
            <w:vAlign w:val="center"/>
          </w:tcPr>
          <w:p>
            <w:pPr>
              <w:spacing w:line="360" w:lineRule="auto"/>
              <w:jc w:val="center"/>
              <w:rPr>
                <w:rFonts w:hint="eastAsia" w:ascii="黑体" w:hAnsi="黑体" w:eastAsia="黑体"/>
                <w:b w:val="0"/>
                <w:bCs/>
                <w:kern w:val="0"/>
                <w:sz w:val="32"/>
                <w:szCs w:val="32"/>
                <w:vertAlign w:val="baseline"/>
                <w:lang w:eastAsia="zh-CN"/>
              </w:rPr>
            </w:pPr>
            <w:r>
              <w:rPr>
                <w:rFonts w:hint="eastAsia" w:ascii="黑体" w:hAnsi="黑体" w:eastAsia="黑体"/>
                <w:b w:val="0"/>
                <w:bCs/>
                <w:kern w:val="0"/>
                <w:sz w:val="32"/>
                <w:szCs w:val="32"/>
                <w:vertAlign w:val="baseline"/>
                <w:lang w:eastAsia="zh-CN"/>
              </w:rPr>
              <w:t>住院医疗费用垫付服务</w:t>
            </w:r>
          </w:p>
        </w:tc>
        <w:tc>
          <w:tcPr>
            <w:tcW w:w="6413" w:type="dxa"/>
          </w:tcPr>
          <w:p>
            <w:pPr>
              <w:spacing w:line="360" w:lineRule="auto"/>
              <w:jc w:val="center"/>
              <w:rPr>
                <w:rFonts w:hint="eastAsia" w:ascii="黑体" w:hAnsi="黑体" w:eastAsia="黑体"/>
                <w:b w:val="0"/>
                <w:bCs/>
                <w:kern w:val="0"/>
                <w:sz w:val="32"/>
                <w:szCs w:val="32"/>
                <w:vertAlign w:val="baseline"/>
                <w:lang w:eastAsia="zh-CN"/>
              </w:rPr>
            </w:pPr>
            <w:r>
              <w:rPr>
                <w:rFonts w:hint="eastAsia" w:ascii="黑体" w:hAnsi="黑体" w:eastAsia="黑体"/>
                <w:b w:val="0"/>
                <w:bCs/>
                <w:kern w:val="0"/>
                <w:sz w:val="32"/>
                <w:szCs w:val="32"/>
                <w:vertAlign w:val="baseline"/>
                <w:lang w:eastAsia="zh-CN"/>
              </w:rPr>
              <w:t>国宝人寿医保康医疗保险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vMerge w:val="continue"/>
            <w:vAlign w:val="center"/>
          </w:tcPr>
          <w:p>
            <w:pPr>
              <w:spacing w:line="360" w:lineRule="auto"/>
              <w:jc w:val="center"/>
              <w:rPr>
                <w:rFonts w:hint="eastAsia" w:ascii="黑体" w:hAnsi="黑体" w:eastAsia="黑体"/>
                <w:b w:val="0"/>
                <w:bCs/>
                <w:kern w:val="0"/>
                <w:sz w:val="32"/>
                <w:szCs w:val="32"/>
                <w:vertAlign w:val="baseline"/>
                <w:lang w:eastAsia="zh-CN"/>
              </w:rPr>
            </w:pPr>
          </w:p>
        </w:tc>
        <w:tc>
          <w:tcPr>
            <w:tcW w:w="6413" w:type="dxa"/>
          </w:tcPr>
          <w:p>
            <w:pPr>
              <w:spacing w:line="360" w:lineRule="auto"/>
              <w:jc w:val="center"/>
              <w:rPr>
                <w:rFonts w:hint="eastAsia" w:ascii="黑体" w:hAnsi="黑体" w:eastAsia="黑体"/>
                <w:b w:val="0"/>
                <w:bCs/>
                <w:kern w:val="0"/>
                <w:sz w:val="32"/>
                <w:szCs w:val="32"/>
                <w:vertAlign w:val="baseline"/>
                <w:lang w:eastAsia="zh-CN"/>
              </w:rPr>
            </w:pPr>
            <w:r>
              <w:rPr>
                <w:rFonts w:hint="eastAsia" w:ascii="黑体" w:hAnsi="黑体" w:eastAsia="黑体"/>
                <w:b w:val="0"/>
                <w:bCs/>
                <w:kern w:val="0"/>
                <w:sz w:val="32"/>
                <w:szCs w:val="32"/>
                <w:vertAlign w:val="baseline"/>
                <w:lang w:eastAsia="zh-CN"/>
              </w:rPr>
              <w:t>国宝人寿医保康（保证续保版）医疗保险</w:t>
            </w:r>
          </w:p>
        </w:tc>
      </w:tr>
    </w:tbl>
    <w:p>
      <w:pPr>
        <w:spacing w:line="360" w:lineRule="auto"/>
        <w:rPr>
          <w:rFonts w:hint="eastAsia" w:ascii="黑体" w:hAnsi="黑体" w:eastAsia="黑体"/>
          <w:b/>
          <w:kern w:val="0"/>
          <w:sz w:val="32"/>
          <w:szCs w:val="28"/>
          <w:lang w:eastAsia="zh-CN"/>
        </w:rPr>
      </w:pPr>
    </w:p>
    <w:p>
      <w:pPr>
        <w:spacing w:line="360" w:lineRule="auto"/>
        <w:rPr>
          <w:rFonts w:hint="eastAsia" w:ascii="黑体" w:hAnsi="黑体" w:eastAsia="黑体"/>
          <w:b/>
          <w:kern w:val="0"/>
          <w:sz w:val="32"/>
          <w:szCs w:val="28"/>
        </w:rPr>
      </w:pPr>
    </w:p>
    <w:p>
      <w:pPr>
        <w:spacing w:line="360" w:lineRule="auto"/>
        <w:rPr>
          <w:rFonts w:hint="eastAsia" w:ascii="黑体" w:hAnsi="黑体" w:eastAsia="黑体"/>
          <w:b/>
          <w:kern w:val="0"/>
          <w:sz w:val="32"/>
          <w:szCs w:val="28"/>
        </w:rPr>
      </w:pPr>
    </w:p>
    <w:p>
      <w:pPr>
        <w:spacing w:line="360" w:lineRule="auto"/>
        <w:rPr>
          <w:rFonts w:hint="eastAsia" w:ascii="黑体" w:hAnsi="黑体" w:eastAsia="黑体"/>
          <w:b/>
          <w:kern w:val="0"/>
          <w:sz w:val="32"/>
          <w:szCs w:val="28"/>
        </w:rPr>
      </w:pPr>
    </w:p>
    <w:p>
      <w:pPr>
        <w:spacing w:line="360" w:lineRule="auto"/>
        <w:rPr>
          <w:rFonts w:hint="eastAsia" w:ascii="黑体" w:hAnsi="黑体" w:eastAsia="黑体"/>
          <w:b/>
          <w:kern w:val="0"/>
          <w:sz w:val="32"/>
          <w:szCs w:val="28"/>
        </w:rPr>
      </w:pPr>
    </w:p>
    <w:p>
      <w:pPr>
        <w:spacing w:line="360" w:lineRule="auto"/>
        <w:rPr>
          <w:rFonts w:hint="eastAsia" w:ascii="黑体" w:hAnsi="黑体" w:eastAsia="黑体"/>
          <w:b/>
          <w:kern w:val="0"/>
          <w:sz w:val="32"/>
          <w:szCs w:val="28"/>
        </w:rPr>
      </w:pPr>
    </w:p>
    <w:p>
      <w:pPr>
        <w:spacing w:line="360" w:lineRule="auto"/>
        <w:rPr>
          <w:rFonts w:hint="eastAsia" w:ascii="黑体" w:hAnsi="黑体" w:eastAsia="黑体"/>
          <w:b/>
          <w:kern w:val="0"/>
          <w:sz w:val="32"/>
          <w:szCs w:val="28"/>
        </w:rPr>
      </w:pPr>
    </w:p>
    <w:p>
      <w:pPr>
        <w:spacing w:line="360" w:lineRule="auto"/>
        <w:rPr>
          <w:rFonts w:hint="eastAsia" w:ascii="黑体" w:hAnsi="黑体" w:eastAsia="黑体"/>
          <w:b/>
          <w:kern w:val="0"/>
          <w:sz w:val="32"/>
          <w:szCs w:val="28"/>
        </w:rPr>
      </w:pPr>
    </w:p>
    <w:p>
      <w:pPr>
        <w:spacing w:line="360" w:lineRule="auto"/>
        <w:rPr>
          <w:rFonts w:hint="eastAsia" w:ascii="黑体" w:hAnsi="黑体" w:eastAsia="黑体"/>
          <w:b/>
          <w:kern w:val="0"/>
          <w:sz w:val="32"/>
          <w:szCs w:val="28"/>
        </w:rPr>
      </w:pPr>
    </w:p>
    <w:p>
      <w:pPr>
        <w:spacing w:line="360" w:lineRule="auto"/>
        <w:rPr>
          <w:rFonts w:hint="eastAsia" w:ascii="黑体" w:hAnsi="黑体" w:eastAsia="黑体"/>
          <w:b/>
          <w:kern w:val="0"/>
          <w:sz w:val="32"/>
          <w:szCs w:val="28"/>
        </w:rPr>
      </w:pPr>
    </w:p>
    <w:p>
      <w:pPr>
        <w:spacing w:line="360" w:lineRule="auto"/>
        <w:rPr>
          <w:rFonts w:hint="eastAsia" w:ascii="黑体" w:hAnsi="黑体" w:eastAsia="黑体"/>
          <w:b/>
          <w:kern w:val="0"/>
          <w:sz w:val="32"/>
          <w:szCs w:val="28"/>
        </w:rPr>
      </w:pPr>
    </w:p>
    <w:p>
      <w:pPr>
        <w:spacing w:line="360" w:lineRule="auto"/>
        <w:rPr>
          <w:rFonts w:hint="eastAsia" w:ascii="黑体" w:hAnsi="黑体" w:eastAsia="黑体"/>
          <w:b/>
          <w:kern w:val="0"/>
          <w:sz w:val="32"/>
          <w:szCs w:val="28"/>
        </w:rPr>
      </w:pPr>
    </w:p>
    <w:p>
      <w:pPr>
        <w:spacing w:line="360" w:lineRule="auto"/>
        <w:rPr>
          <w:rFonts w:hint="eastAsia" w:ascii="黑体" w:hAnsi="黑体" w:eastAsia="黑体"/>
          <w:b/>
          <w:kern w:val="0"/>
          <w:sz w:val="32"/>
          <w:szCs w:val="28"/>
        </w:rPr>
      </w:pPr>
    </w:p>
    <w:p>
      <w:pPr>
        <w:spacing w:line="360" w:lineRule="auto"/>
        <w:rPr>
          <w:rFonts w:hint="eastAsia" w:ascii="黑体" w:hAnsi="黑体" w:eastAsia="黑体"/>
          <w:b/>
          <w:kern w:val="0"/>
          <w:sz w:val="32"/>
          <w:szCs w:val="28"/>
        </w:rPr>
      </w:pPr>
    </w:p>
    <w:p>
      <w:pPr>
        <w:spacing w:line="360" w:lineRule="auto"/>
        <w:rPr>
          <w:rFonts w:hint="eastAsia" w:ascii="黑体" w:hAnsi="黑体" w:eastAsia="黑体"/>
          <w:b/>
          <w:kern w:val="0"/>
          <w:sz w:val="32"/>
          <w:szCs w:val="28"/>
        </w:rPr>
      </w:pPr>
    </w:p>
    <w:p>
      <w:pPr>
        <w:spacing w:line="360" w:lineRule="auto"/>
        <w:rPr>
          <w:rFonts w:hint="eastAsia" w:ascii="黑体" w:hAnsi="黑体" w:eastAsia="黑体"/>
          <w:b/>
          <w:kern w:val="0"/>
          <w:sz w:val="32"/>
          <w:szCs w:val="28"/>
          <w:lang w:eastAsia="zh-CN"/>
        </w:rPr>
      </w:pPr>
      <w:r>
        <w:rPr>
          <w:rFonts w:hint="eastAsia" w:ascii="黑体" w:hAnsi="黑体" w:eastAsia="黑体"/>
          <w:b/>
          <w:kern w:val="0"/>
          <w:sz w:val="32"/>
          <w:szCs w:val="28"/>
        </w:rPr>
        <w:t>附件</w:t>
      </w:r>
      <w:r>
        <w:rPr>
          <w:rFonts w:hint="eastAsia" w:ascii="黑体" w:hAnsi="黑体" w:eastAsia="黑体"/>
          <w:b/>
          <w:kern w:val="0"/>
          <w:sz w:val="32"/>
          <w:szCs w:val="28"/>
          <w:lang w:val="en-US" w:eastAsia="zh-CN"/>
        </w:rPr>
        <w:t>5</w:t>
      </w:r>
      <w:r>
        <w:rPr>
          <w:rFonts w:hint="eastAsia" w:ascii="黑体" w:hAnsi="黑体" w:eastAsia="黑体"/>
          <w:b/>
          <w:kern w:val="0"/>
          <w:sz w:val="32"/>
          <w:szCs w:val="28"/>
        </w:rPr>
        <w:t>：</w:t>
      </w:r>
      <w:r>
        <w:rPr>
          <w:rFonts w:hint="eastAsia" w:ascii="黑体" w:hAnsi="黑体" w:eastAsia="黑体"/>
          <w:b/>
          <w:kern w:val="0"/>
          <w:sz w:val="32"/>
          <w:szCs w:val="28"/>
          <w:lang w:eastAsia="zh-CN"/>
        </w:rPr>
        <w:t>理 赔 授 权 委 托 书</w:t>
      </w:r>
    </w:p>
    <w:p>
      <w:pPr>
        <w:ind w:firstLine="555"/>
        <w:jc w:val="center"/>
        <w:rPr>
          <w:rFonts w:hint="eastAsia" w:ascii="黑体" w:hAnsi="黑体" w:eastAsia="黑体" w:cs="黑体"/>
          <w:b/>
          <w:sz w:val="22"/>
          <w:szCs w:val="22"/>
        </w:rPr>
      </w:pPr>
      <w:r>
        <w:rPr>
          <w:rFonts w:hint="eastAsia" w:ascii="黑体" w:hAnsi="黑体" w:eastAsia="黑体" w:cs="黑体"/>
          <w:b/>
          <w:sz w:val="22"/>
          <w:szCs w:val="22"/>
        </w:rPr>
        <w:t>理 赔 授 权 委 托 书</w:t>
      </w:r>
    </w:p>
    <w:p>
      <w:pPr>
        <w:rPr>
          <w:rFonts w:hint="eastAsia" w:ascii="黑体" w:hAnsi="黑体" w:eastAsia="黑体" w:cs="黑体"/>
          <w:sz w:val="22"/>
          <w:szCs w:val="22"/>
        </w:rPr>
      </w:pPr>
    </w:p>
    <w:p>
      <w:pPr>
        <w:spacing w:line="360" w:lineRule="auto"/>
        <w:rPr>
          <w:rFonts w:hint="eastAsia" w:ascii="黑体" w:hAnsi="黑体" w:eastAsia="黑体" w:cs="黑体"/>
          <w:sz w:val="22"/>
          <w:szCs w:val="22"/>
        </w:rPr>
      </w:pPr>
      <w:r>
        <w:rPr>
          <w:rFonts w:hint="eastAsia" w:ascii="黑体" w:hAnsi="黑体" w:eastAsia="黑体" w:cs="黑体"/>
          <w:sz w:val="22"/>
          <w:szCs w:val="22"/>
        </w:rPr>
        <w:t xml:space="preserve">委托人(客户)姓名：                </w:t>
      </w:r>
    </w:p>
    <w:p>
      <w:pPr>
        <w:spacing w:line="360" w:lineRule="auto"/>
        <w:rPr>
          <w:rFonts w:hint="eastAsia" w:ascii="黑体" w:hAnsi="黑体" w:eastAsia="黑体" w:cs="黑体"/>
          <w:sz w:val="22"/>
          <w:szCs w:val="22"/>
        </w:rPr>
      </w:pPr>
      <w:r>
        <w:rPr>
          <w:rFonts w:hint="eastAsia" w:ascii="黑体" w:hAnsi="黑体" w:eastAsia="黑体" w:cs="黑体"/>
          <w:sz w:val="22"/>
          <w:szCs w:val="22"/>
        </w:rPr>
        <w:t xml:space="preserve">证件类型：□身份证  □其他________                </w:t>
      </w:r>
    </w:p>
    <w:tbl>
      <w:tblPr>
        <w:tblStyle w:val="89"/>
        <w:tblpPr w:leftFromText="180" w:rightFromText="180" w:vertAnchor="text" w:horzAnchor="page" w:tblpX="3361" w:tblpY="221"/>
        <w:tblW w:w="6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341"/>
        <w:gridCol w:w="341"/>
        <w:gridCol w:w="341"/>
        <w:gridCol w:w="341"/>
        <w:gridCol w:w="341"/>
        <w:gridCol w:w="341"/>
        <w:gridCol w:w="341"/>
        <w:gridCol w:w="341"/>
        <w:gridCol w:w="341"/>
        <w:gridCol w:w="341"/>
        <w:gridCol w:w="341"/>
        <w:gridCol w:w="341"/>
        <w:gridCol w:w="341"/>
        <w:gridCol w:w="341"/>
        <w:gridCol w:w="341"/>
        <w:gridCol w:w="341"/>
        <w:gridCol w:w="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c>
          <w:tcPr>
            <w:tcW w:w="341" w:type="dxa"/>
          </w:tcPr>
          <w:p>
            <w:pPr>
              <w:spacing w:line="360" w:lineRule="auto"/>
              <w:ind w:left="1440" w:hanging="480"/>
              <w:rPr>
                <w:rFonts w:hint="eastAsia" w:ascii="黑体" w:hAnsi="黑体" w:eastAsia="黑体" w:cs="黑体"/>
                <w:sz w:val="22"/>
                <w:szCs w:val="22"/>
              </w:rPr>
            </w:pPr>
          </w:p>
        </w:tc>
      </w:tr>
    </w:tbl>
    <w:p>
      <w:pPr>
        <w:spacing w:line="360" w:lineRule="auto"/>
        <w:rPr>
          <w:rFonts w:hint="eastAsia" w:ascii="黑体" w:hAnsi="黑体" w:eastAsia="黑体" w:cs="黑体"/>
          <w:sz w:val="22"/>
          <w:szCs w:val="22"/>
        </w:rPr>
      </w:pPr>
      <w:r>
        <w:rPr>
          <w:rFonts w:hint="eastAsia" w:ascii="黑体" w:hAnsi="黑体" w:eastAsia="黑体" w:cs="黑体"/>
          <w:sz w:val="22"/>
          <w:szCs w:val="22"/>
        </w:rPr>
        <w:t>证件号码：</w:t>
      </w:r>
    </w:p>
    <w:p>
      <w:pPr>
        <w:spacing w:line="360" w:lineRule="auto"/>
        <w:rPr>
          <w:rFonts w:hint="eastAsia" w:ascii="黑体" w:hAnsi="黑体" w:eastAsia="黑体" w:cs="黑体"/>
          <w:sz w:val="22"/>
          <w:szCs w:val="22"/>
        </w:rPr>
      </w:pPr>
    </w:p>
    <w:p>
      <w:pPr>
        <w:spacing w:line="360" w:lineRule="auto"/>
        <w:rPr>
          <w:rFonts w:hint="eastAsia" w:ascii="黑体" w:hAnsi="黑体" w:eastAsia="黑体" w:cs="黑体"/>
          <w:sz w:val="22"/>
          <w:szCs w:val="22"/>
        </w:rPr>
      </w:pPr>
      <w:r>
        <w:rPr>
          <w:rFonts w:hint="eastAsia" w:ascii="黑体" w:hAnsi="黑体" w:eastAsia="黑体" w:cs="黑体"/>
          <w:sz w:val="22"/>
          <w:szCs w:val="22"/>
        </w:rPr>
        <w:t>电话:</w:t>
      </w:r>
    </w:p>
    <w:p>
      <w:pPr>
        <w:spacing w:line="360" w:lineRule="auto"/>
        <w:rPr>
          <w:rFonts w:hint="eastAsia" w:ascii="黑体" w:hAnsi="黑体" w:eastAsia="黑体" w:cs="黑体"/>
          <w:sz w:val="22"/>
          <w:szCs w:val="22"/>
        </w:rPr>
      </w:pPr>
      <w:r>
        <w:rPr>
          <w:rFonts w:hint="eastAsia" w:ascii="黑体" w:hAnsi="黑体" w:eastAsia="黑体" w:cs="黑体"/>
          <w:sz w:val="22"/>
          <w:szCs w:val="22"/>
        </w:rPr>
        <w:t>帐号：                       开户行：</w:t>
      </w:r>
    </w:p>
    <w:p>
      <w:pPr>
        <w:spacing w:line="360" w:lineRule="auto"/>
        <w:rPr>
          <w:rFonts w:hint="eastAsia" w:ascii="黑体" w:hAnsi="黑体" w:eastAsia="黑体" w:cs="黑体"/>
          <w:sz w:val="22"/>
          <w:szCs w:val="22"/>
        </w:rPr>
      </w:pPr>
    </w:p>
    <w:p>
      <w:pPr>
        <w:spacing w:line="360" w:lineRule="auto"/>
        <w:rPr>
          <w:rFonts w:hint="eastAsia" w:ascii="黑体" w:hAnsi="黑体" w:eastAsia="黑体" w:cs="黑体"/>
          <w:sz w:val="22"/>
          <w:szCs w:val="22"/>
        </w:rPr>
      </w:pPr>
      <w:r>
        <w:rPr>
          <w:rFonts w:hint="eastAsia" w:ascii="黑体" w:hAnsi="黑体" w:eastAsia="黑体" w:cs="黑体"/>
          <w:sz w:val="22"/>
          <w:szCs w:val="22"/>
        </w:rPr>
        <w:t>受委托人：上海商涌科技有限公司</w:t>
      </w:r>
    </w:p>
    <w:p>
      <w:pPr>
        <w:snapToGrid w:val="0"/>
        <w:spacing w:before="156" w:beforeLines="50" w:line="360" w:lineRule="auto"/>
        <w:rPr>
          <w:rFonts w:hint="eastAsia" w:ascii="黑体" w:hAnsi="黑体" w:eastAsia="黑体" w:cs="黑体"/>
          <w:sz w:val="22"/>
          <w:szCs w:val="22"/>
        </w:rPr>
      </w:pPr>
      <w:r>
        <w:rPr>
          <w:rFonts w:hint="eastAsia" w:ascii="黑体" w:hAnsi="黑体" w:eastAsia="黑体" w:cs="黑体"/>
          <w:sz w:val="22"/>
          <w:szCs w:val="22"/>
        </w:rPr>
        <w:t>地址： 上海市浦东新区金科路2889弄长泰广场C座201室</w:t>
      </w:r>
    </w:p>
    <w:p>
      <w:pPr>
        <w:spacing w:line="360" w:lineRule="auto"/>
        <w:rPr>
          <w:rFonts w:hint="eastAsia" w:ascii="黑体" w:hAnsi="黑体" w:eastAsia="黑体" w:cs="黑体"/>
          <w:sz w:val="22"/>
          <w:szCs w:val="22"/>
        </w:rPr>
      </w:pPr>
      <w:r>
        <w:rPr>
          <w:rFonts w:hint="eastAsia" w:ascii="黑体" w:hAnsi="黑体" w:eastAsia="黑体" w:cs="黑体"/>
          <w:sz w:val="22"/>
          <w:szCs w:val="22"/>
        </w:rPr>
        <w:t>电话： 021-68582972</w:t>
      </w:r>
    </w:p>
    <w:p>
      <w:pPr>
        <w:spacing w:line="360" w:lineRule="auto"/>
        <w:ind w:firstLine="440" w:firstLineChars="200"/>
        <w:rPr>
          <w:rFonts w:hint="eastAsia" w:ascii="黑体" w:hAnsi="黑体" w:eastAsia="黑体" w:cs="黑体"/>
          <w:bCs/>
          <w:sz w:val="22"/>
          <w:szCs w:val="22"/>
        </w:rPr>
      </w:pPr>
      <w:r>
        <w:rPr>
          <w:rFonts w:hint="eastAsia" w:ascii="黑体" w:hAnsi="黑体" w:eastAsia="黑体" w:cs="黑体"/>
          <w:bCs/>
          <w:sz w:val="22"/>
          <w:szCs w:val="22"/>
        </w:rPr>
        <w:t>兹委托上海</w:t>
      </w:r>
      <w:r>
        <w:rPr>
          <w:rFonts w:hint="eastAsia" w:ascii="黑体" w:hAnsi="黑体" w:eastAsia="黑体" w:cs="黑体"/>
          <w:sz w:val="22"/>
          <w:szCs w:val="22"/>
        </w:rPr>
        <w:t>商涌科技有限公司（以下简称“商涌科技”）</w:t>
      </w:r>
      <w:r>
        <w:rPr>
          <w:rFonts w:hint="eastAsia" w:ascii="黑体" w:hAnsi="黑体" w:eastAsia="黑体" w:cs="黑体"/>
          <w:bCs/>
          <w:sz w:val="22"/>
          <w:szCs w:val="22"/>
        </w:rPr>
        <w:t>就《</w:t>
      </w:r>
      <w:r>
        <w:rPr>
          <w:rFonts w:hint="eastAsia" w:ascii="黑体" w:hAnsi="黑体" w:eastAsia="黑体" w:cs="黑体"/>
          <w:bCs/>
          <w:sz w:val="22"/>
          <w:szCs w:val="22"/>
          <w:u w:val="single"/>
        </w:rPr>
        <w:t xml:space="preserve">                       </w:t>
      </w:r>
      <w:r>
        <w:rPr>
          <w:rFonts w:hint="eastAsia" w:ascii="黑体" w:hAnsi="黑体" w:eastAsia="黑体" w:cs="黑体"/>
          <w:bCs/>
          <w:sz w:val="22"/>
          <w:szCs w:val="22"/>
        </w:rPr>
        <w:t>产品（</w:t>
      </w:r>
      <w:r>
        <w:rPr>
          <w:rFonts w:hint="eastAsia" w:ascii="黑体" w:hAnsi="黑体" w:eastAsia="黑体" w:cs="黑体"/>
          <w:sz w:val="22"/>
          <w:szCs w:val="22"/>
        </w:rPr>
        <w:t>保险单号码_________________________）</w:t>
      </w:r>
      <w:r>
        <w:rPr>
          <w:rFonts w:hint="eastAsia" w:ascii="黑体" w:hAnsi="黑体" w:eastAsia="黑体" w:cs="黑体"/>
          <w:bCs/>
          <w:sz w:val="22"/>
          <w:szCs w:val="22"/>
        </w:rPr>
        <w:t>保险合同的理赔事宜作为我的授权方</w:t>
      </w:r>
      <w:r>
        <w:rPr>
          <w:rFonts w:hint="eastAsia" w:ascii="黑体" w:hAnsi="黑体" w:eastAsia="黑体" w:cs="黑体"/>
          <w:sz w:val="22"/>
          <w:szCs w:val="22"/>
        </w:rPr>
        <w:t>。</w:t>
      </w:r>
      <w:r>
        <w:rPr>
          <w:rFonts w:hint="eastAsia" w:ascii="黑体" w:hAnsi="黑体" w:eastAsia="黑体" w:cs="黑体"/>
          <w:bCs/>
          <w:sz w:val="22"/>
          <w:szCs w:val="22"/>
        </w:rPr>
        <w:t>本人知晓此次住院医疗费用中人民币</w:t>
      </w:r>
      <w:r>
        <w:rPr>
          <w:rFonts w:hint="eastAsia" w:ascii="黑体" w:hAnsi="黑体" w:eastAsia="黑体" w:cs="黑体"/>
          <w:bCs/>
          <w:sz w:val="22"/>
          <w:szCs w:val="22"/>
          <w:u w:val="single"/>
        </w:rPr>
        <w:t xml:space="preserve">                   </w:t>
      </w:r>
      <w:r>
        <w:rPr>
          <w:rFonts w:hint="eastAsia" w:ascii="黑体" w:hAnsi="黑体" w:eastAsia="黑体" w:cs="黑体"/>
          <w:bCs/>
          <w:sz w:val="22"/>
          <w:szCs w:val="22"/>
        </w:rPr>
        <w:t>（RMB</w:t>
      </w:r>
      <w:r>
        <w:rPr>
          <w:rFonts w:hint="eastAsia" w:ascii="黑体" w:hAnsi="黑体" w:eastAsia="黑体" w:cs="黑体"/>
          <w:bCs/>
          <w:sz w:val="22"/>
          <w:szCs w:val="22"/>
          <w:u w:val="single"/>
        </w:rPr>
        <w:t xml:space="preserve">                   </w:t>
      </w:r>
      <w:r>
        <w:rPr>
          <w:rFonts w:hint="eastAsia" w:ascii="黑体" w:hAnsi="黑体" w:eastAsia="黑体" w:cs="黑体"/>
          <w:bCs/>
          <w:sz w:val="22"/>
          <w:szCs w:val="22"/>
        </w:rPr>
        <w:t>元）系由</w:t>
      </w:r>
      <w:r>
        <w:rPr>
          <w:rFonts w:hint="eastAsia" w:ascii="黑体" w:hAnsi="黑体" w:eastAsia="黑体" w:cs="黑体"/>
          <w:sz w:val="22"/>
          <w:szCs w:val="22"/>
        </w:rPr>
        <w:t>商涌科技</w:t>
      </w:r>
      <w:r>
        <w:rPr>
          <w:rFonts w:hint="eastAsia" w:ascii="黑体" w:hAnsi="黑体" w:eastAsia="黑体" w:cs="黑体"/>
          <w:bCs/>
          <w:sz w:val="22"/>
          <w:szCs w:val="22"/>
        </w:rPr>
        <w:t>为我垫付对应的理赔款，本人同意转让相应垫付的金额的保险金请求权给商涌科技</w:t>
      </w:r>
      <w:r>
        <w:rPr>
          <w:rFonts w:hint="eastAsia" w:ascii="黑体" w:hAnsi="黑体" w:eastAsia="黑体" w:cs="黑体"/>
          <w:sz w:val="22"/>
          <w:szCs w:val="22"/>
        </w:rPr>
        <w:t>。</w:t>
      </w:r>
      <w:r>
        <w:rPr>
          <w:rFonts w:hint="eastAsia" w:ascii="黑体" w:hAnsi="黑体" w:eastAsia="黑体" w:cs="黑体"/>
          <w:bCs/>
          <w:sz w:val="22"/>
          <w:szCs w:val="22"/>
        </w:rPr>
        <w:t>故本人同意国宝人寿保险股份有限公司将审核后的垫付对应的理赔款汇至商涌科技的指定账户。若后续商涌科技再次为我垫付的，我将就再次垫付的款项另行授权。</w:t>
      </w:r>
    </w:p>
    <w:p>
      <w:pPr>
        <w:spacing w:line="360" w:lineRule="auto"/>
        <w:jc w:val="left"/>
        <w:rPr>
          <w:rFonts w:hint="eastAsia" w:ascii="黑体" w:hAnsi="黑体" w:eastAsia="黑体" w:cs="黑体"/>
          <w:sz w:val="22"/>
          <w:szCs w:val="22"/>
        </w:rPr>
      </w:pPr>
      <w:r>
        <w:rPr>
          <w:rFonts w:hint="eastAsia" w:ascii="黑体" w:hAnsi="黑体" w:eastAsia="黑体" w:cs="黑体"/>
          <w:sz w:val="22"/>
          <w:szCs w:val="22"/>
        </w:rPr>
        <w:t>开户名称：上海商涌科技有限公司</w:t>
      </w:r>
    </w:p>
    <w:p>
      <w:pPr>
        <w:spacing w:line="360" w:lineRule="auto"/>
        <w:jc w:val="left"/>
        <w:rPr>
          <w:rFonts w:hint="eastAsia" w:ascii="黑体" w:hAnsi="黑体" w:eastAsia="黑体" w:cs="黑体"/>
          <w:sz w:val="22"/>
          <w:szCs w:val="22"/>
        </w:rPr>
      </w:pPr>
      <w:r>
        <w:rPr>
          <w:rFonts w:hint="eastAsia" w:ascii="黑体" w:hAnsi="黑体" w:eastAsia="黑体" w:cs="黑体"/>
          <w:sz w:val="22"/>
          <w:szCs w:val="22"/>
        </w:rPr>
        <w:t xml:space="preserve">开户银行：上海银行股份有限公司漕宝路支行 </w:t>
      </w:r>
    </w:p>
    <w:p>
      <w:pPr>
        <w:spacing w:line="360" w:lineRule="auto"/>
        <w:jc w:val="left"/>
        <w:rPr>
          <w:rFonts w:hint="eastAsia" w:ascii="黑体" w:hAnsi="黑体" w:eastAsia="黑体" w:cs="黑体"/>
          <w:b/>
          <w:bCs/>
          <w:sz w:val="22"/>
          <w:szCs w:val="22"/>
        </w:rPr>
      </w:pPr>
      <w:r>
        <w:rPr>
          <w:rFonts w:hint="eastAsia" w:ascii="黑体" w:hAnsi="黑体" w:eastAsia="黑体" w:cs="黑体"/>
          <w:sz w:val="22"/>
          <w:szCs w:val="22"/>
        </w:rPr>
        <w:t>账    户：03003788918</w:t>
      </w:r>
    </w:p>
    <w:p>
      <w:pPr>
        <w:spacing w:line="360" w:lineRule="auto"/>
        <w:rPr>
          <w:rFonts w:hint="eastAsia" w:ascii="黑体" w:hAnsi="黑体" w:eastAsia="黑体" w:cs="黑体"/>
          <w:sz w:val="22"/>
          <w:szCs w:val="22"/>
        </w:rPr>
      </w:pPr>
    </w:p>
    <w:p>
      <w:pPr>
        <w:spacing w:line="360" w:lineRule="auto"/>
        <w:rPr>
          <w:rFonts w:hint="eastAsia" w:ascii="黑体" w:hAnsi="黑体" w:eastAsia="黑体" w:cs="黑体"/>
          <w:b/>
          <w:sz w:val="22"/>
          <w:szCs w:val="22"/>
        </w:rPr>
      </w:pPr>
      <w:r>
        <w:rPr>
          <w:rFonts w:hint="eastAsia" w:ascii="黑体" w:hAnsi="黑体" w:eastAsia="黑体" w:cs="黑体"/>
          <w:sz w:val="22"/>
          <w:szCs w:val="22"/>
        </w:rPr>
        <w:t>受委托人的权限为以下项目：</w:t>
      </w:r>
    </w:p>
    <w:p>
      <w:pPr>
        <w:spacing w:line="360" w:lineRule="auto"/>
        <w:rPr>
          <w:rFonts w:hint="eastAsia" w:ascii="黑体" w:hAnsi="黑体" w:eastAsia="黑体" w:cs="黑体"/>
          <w:sz w:val="22"/>
          <w:szCs w:val="22"/>
        </w:rPr>
      </w:pPr>
      <w:r>
        <w:rPr>
          <w:rFonts w:hint="eastAsia" w:ascii="黑体" w:hAnsi="黑体" w:eastAsia="黑体" w:cs="黑体"/>
          <w:sz w:val="22"/>
          <w:szCs w:val="22"/>
        </w:rPr>
        <w:t xml:space="preserve">1. 办理理赔申请及提交理赔材料。2. 受领理赔决定通知。3. 受领相应理赔款项。4. 授权有效时间：自本授权书签署之日起至上述三个项目完成之日止。  </w:t>
      </w:r>
    </w:p>
    <w:p>
      <w:pPr>
        <w:spacing w:line="360" w:lineRule="auto"/>
        <w:rPr>
          <w:rFonts w:hint="eastAsia" w:ascii="黑体" w:hAnsi="黑体" w:eastAsia="黑体" w:cs="黑体"/>
          <w:sz w:val="22"/>
          <w:szCs w:val="22"/>
        </w:rPr>
      </w:pPr>
    </w:p>
    <w:p>
      <w:pPr>
        <w:spacing w:line="360" w:lineRule="auto"/>
        <w:rPr>
          <w:rFonts w:hint="eastAsia" w:ascii="黑体" w:hAnsi="黑体" w:eastAsia="黑体" w:cs="黑体"/>
          <w:sz w:val="22"/>
          <w:szCs w:val="22"/>
        </w:rPr>
      </w:pPr>
      <w:r>
        <w:rPr>
          <w:rFonts w:hint="eastAsia" w:ascii="黑体" w:hAnsi="黑体" w:eastAsia="黑体" w:cs="黑体"/>
          <w:sz w:val="22"/>
          <w:szCs w:val="22"/>
        </w:rPr>
        <w:t>委托人：            （签字/盖章）  受委托人：上海商涌科技有限公司（盖章）</w:t>
      </w:r>
    </w:p>
    <w:p>
      <w:pPr>
        <w:spacing w:line="360" w:lineRule="auto"/>
        <w:rPr>
          <w:rFonts w:hint="eastAsia" w:ascii="黑体" w:hAnsi="黑体" w:eastAsia="黑体" w:cs="黑体"/>
          <w:b/>
          <w:sz w:val="22"/>
          <w:szCs w:val="22"/>
        </w:rPr>
      </w:pPr>
      <w:r>
        <w:rPr>
          <w:rFonts w:hint="eastAsia" w:ascii="黑体" w:hAnsi="黑体" w:eastAsia="黑体" w:cs="黑体"/>
          <w:sz w:val="22"/>
          <w:szCs w:val="22"/>
        </w:rPr>
        <w:t>日期：    年   月   日                   日期：    年   月   日</w:t>
      </w:r>
    </w:p>
    <w:p>
      <w:pPr>
        <w:pStyle w:val="98"/>
        <w:ind w:left="2880"/>
        <w:rPr>
          <w:rFonts w:hint="eastAsia" w:ascii="黑体" w:hAnsi="黑体" w:eastAsia="黑体" w:cs="黑体"/>
          <w:b/>
          <w:sz w:val="22"/>
          <w:szCs w:val="22"/>
          <w:u w:val="single"/>
        </w:rPr>
        <w:sectPr>
          <w:pgSz w:w="11906" w:h="16838"/>
          <w:pgMar w:top="1440" w:right="1800" w:bottom="567" w:left="1800" w:header="851" w:footer="992" w:gutter="0"/>
          <w:cols w:space="425" w:num="1"/>
          <w:docGrid w:type="lines" w:linePitch="312" w:charSpace="0"/>
        </w:sectPr>
      </w:pPr>
    </w:p>
    <w:p>
      <w:pPr>
        <w:pStyle w:val="98"/>
        <w:ind w:left="2880"/>
        <w:rPr>
          <w:rFonts w:hint="eastAsia" w:ascii="黑体" w:hAnsi="黑体" w:eastAsia="黑体" w:cs="黑体"/>
          <w:b/>
          <w:sz w:val="22"/>
          <w:szCs w:val="22"/>
          <w:u w:val="single"/>
        </w:rPr>
      </w:pPr>
      <w:r>
        <w:rPr>
          <w:rFonts w:hint="eastAsia" w:ascii="黑体" w:hAnsi="黑体" w:eastAsia="黑体" w:cs="黑体"/>
          <w:b/>
          <w:sz w:val="22"/>
          <w:szCs w:val="22"/>
          <w:u w:val="single"/>
        </w:rPr>
        <w:t>特别声明及授权：</w:t>
      </w:r>
    </w:p>
    <w:p>
      <w:pPr>
        <w:pStyle w:val="98"/>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jc w:val="left"/>
        <w:textAlignment w:val="auto"/>
        <w:rPr>
          <w:rFonts w:hint="eastAsia" w:ascii="黑体" w:hAnsi="黑体" w:eastAsia="黑体" w:cs="黑体"/>
          <w:bCs/>
          <w:sz w:val="22"/>
          <w:szCs w:val="22"/>
        </w:rPr>
      </w:pPr>
      <w:r>
        <w:rPr>
          <w:rFonts w:hint="eastAsia" w:ascii="黑体" w:hAnsi="黑体" w:eastAsia="黑体" w:cs="黑体"/>
          <w:bCs/>
          <w:sz w:val="22"/>
          <w:szCs w:val="22"/>
        </w:rPr>
        <w:t>医疗垫付审核是我们审查医疗项目合理性和必要性的重要方式，目的是使您获得更有效的医疗垫付服务，无论我们是否同意您医疗垫付申请，均不构成</w:t>
      </w:r>
      <w:r>
        <w:rPr>
          <w:rFonts w:hint="eastAsia" w:ascii="黑体" w:hAnsi="黑体" w:eastAsia="黑体" w:cs="黑体"/>
          <w:bCs/>
          <w:sz w:val="22"/>
          <w:szCs w:val="22"/>
          <w:lang w:eastAsia="zh-CN"/>
        </w:rPr>
        <w:t>国宝人寿保险股份有限公司</w:t>
      </w:r>
      <w:r>
        <w:rPr>
          <w:rFonts w:hint="eastAsia" w:ascii="黑体" w:hAnsi="黑体" w:eastAsia="黑体" w:cs="黑体"/>
          <w:bCs/>
          <w:sz w:val="22"/>
          <w:szCs w:val="22"/>
        </w:rPr>
        <w:t>（以下简称“承保公司”）对于该垫付事项承担保险责任的承诺。</w:t>
      </w:r>
    </w:p>
    <w:p>
      <w:pPr>
        <w:pStyle w:val="98"/>
        <w:keepNext w:val="0"/>
        <w:keepLines w:val="0"/>
        <w:pageBreakBefore w:val="0"/>
        <w:widowControl w:val="0"/>
        <w:numPr>
          <w:ilvl w:val="0"/>
          <w:numId w:val="13"/>
        </w:numPr>
        <w:kinsoku/>
        <w:wordWrap/>
        <w:overflowPunct/>
        <w:topLinePunct w:val="0"/>
        <w:autoSpaceDE w:val="0"/>
        <w:autoSpaceDN w:val="0"/>
        <w:bidi w:val="0"/>
        <w:adjustRightInd w:val="0"/>
        <w:snapToGrid w:val="0"/>
        <w:ind w:left="0" w:leftChars="0" w:firstLine="0"/>
        <w:jc w:val="left"/>
        <w:textAlignment w:val="auto"/>
        <w:rPr>
          <w:rFonts w:hint="eastAsia" w:ascii="黑体" w:hAnsi="黑体" w:eastAsia="黑体" w:cs="黑体"/>
          <w:bCs/>
          <w:sz w:val="22"/>
          <w:szCs w:val="22"/>
        </w:rPr>
      </w:pPr>
      <w:r>
        <w:rPr>
          <w:rFonts w:hint="eastAsia" w:ascii="黑体" w:hAnsi="黑体" w:eastAsia="黑体" w:cs="黑体"/>
          <w:bCs/>
          <w:sz w:val="22"/>
          <w:szCs w:val="22"/>
        </w:rPr>
        <w:t>医疗垫付的行为并不代表承保公司认可该事故属于保险责任。</w:t>
      </w:r>
    </w:p>
    <w:p>
      <w:pPr>
        <w:pStyle w:val="98"/>
        <w:keepNext w:val="0"/>
        <w:keepLines w:val="0"/>
        <w:pageBreakBefore w:val="0"/>
        <w:widowControl w:val="0"/>
        <w:numPr>
          <w:ilvl w:val="0"/>
          <w:numId w:val="13"/>
        </w:numPr>
        <w:kinsoku/>
        <w:wordWrap/>
        <w:overflowPunct/>
        <w:topLinePunct w:val="0"/>
        <w:autoSpaceDE w:val="0"/>
        <w:autoSpaceDN w:val="0"/>
        <w:bidi w:val="0"/>
        <w:adjustRightInd w:val="0"/>
        <w:snapToGrid w:val="0"/>
        <w:ind w:left="0" w:leftChars="0" w:firstLine="0"/>
        <w:jc w:val="left"/>
        <w:textAlignment w:val="auto"/>
        <w:rPr>
          <w:rFonts w:hint="eastAsia" w:ascii="黑体" w:hAnsi="黑体" w:eastAsia="黑体" w:cs="黑体"/>
          <w:bCs/>
          <w:sz w:val="22"/>
          <w:szCs w:val="22"/>
        </w:rPr>
      </w:pPr>
      <w:r>
        <w:rPr>
          <w:rFonts w:hint="eastAsia" w:ascii="黑体" w:hAnsi="黑体" w:eastAsia="黑体" w:cs="黑体"/>
          <w:bCs/>
          <w:sz w:val="22"/>
          <w:szCs w:val="22"/>
        </w:rPr>
        <w:t>待您出院后，请务必于5个工作日内向我们提交理赔材料，以便承保公司确定您本次住院的最终理赔金额。如您逾期未提供材料的，我们有权要求您退还垫付款，自行向承保公司申请理赔。</w:t>
      </w:r>
    </w:p>
    <w:p>
      <w:pPr>
        <w:pStyle w:val="98"/>
        <w:keepNext w:val="0"/>
        <w:keepLines w:val="0"/>
        <w:pageBreakBefore w:val="0"/>
        <w:widowControl w:val="0"/>
        <w:numPr>
          <w:ilvl w:val="0"/>
          <w:numId w:val="13"/>
        </w:numPr>
        <w:kinsoku/>
        <w:wordWrap/>
        <w:overflowPunct/>
        <w:topLinePunct w:val="0"/>
        <w:autoSpaceDE w:val="0"/>
        <w:autoSpaceDN w:val="0"/>
        <w:bidi w:val="0"/>
        <w:adjustRightInd w:val="0"/>
        <w:snapToGrid w:val="0"/>
        <w:ind w:left="0" w:leftChars="0" w:firstLine="0"/>
        <w:jc w:val="left"/>
        <w:textAlignment w:val="auto"/>
        <w:rPr>
          <w:rFonts w:hint="eastAsia" w:ascii="黑体" w:hAnsi="黑体" w:eastAsia="黑体" w:cs="黑体"/>
          <w:bCs/>
          <w:sz w:val="22"/>
          <w:szCs w:val="22"/>
        </w:rPr>
      </w:pPr>
      <w:r>
        <w:rPr>
          <w:rFonts w:hint="eastAsia" w:ascii="黑体" w:hAnsi="黑体" w:eastAsia="黑体" w:cs="黑体"/>
          <w:b/>
          <w:sz w:val="22"/>
          <w:szCs w:val="22"/>
        </w:rPr>
        <w:t>您授权我们在垫付后相应的取得向</w:t>
      </w:r>
      <w:r>
        <w:rPr>
          <w:rFonts w:hint="eastAsia" w:ascii="黑体" w:hAnsi="黑体" w:eastAsia="黑体" w:cs="黑体"/>
          <w:b/>
          <w:bCs/>
          <w:sz w:val="22"/>
          <w:szCs w:val="22"/>
        </w:rPr>
        <w:t>承保公司</w:t>
      </w:r>
      <w:r>
        <w:rPr>
          <w:rFonts w:hint="eastAsia" w:ascii="黑体" w:hAnsi="黑体" w:eastAsia="黑体" w:cs="黑体"/>
          <w:b/>
          <w:sz w:val="22"/>
          <w:szCs w:val="22"/>
        </w:rPr>
        <w:t>获取垫付医疗费用范围内的保险金的权益。</w:t>
      </w:r>
    </w:p>
    <w:p>
      <w:pPr>
        <w:pStyle w:val="98"/>
        <w:keepNext w:val="0"/>
        <w:keepLines w:val="0"/>
        <w:pageBreakBefore w:val="0"/>
        <w:widowControl w:val="0"/>
        <w:numPr>
          <w:ilvl w:val="0"/>
          <w:numId w:val="13"/>
        </w:numPr>
        <w:kinsoku/>
        <w:wordWrap/>
        <w:overflowPunct/>
        <w:topLinePunct w:val="0"/>
        <w:autoSpaceDE w:val="0"/>
        <w:autoSpaceDN w:val="0"/>
        <w:bidi w:val="0"/>
        <w:adjustRightInd w:val="0"/>
        <w:snapToGrid w:val="0"/>
        <w:ind w:left="0" w:leftChars="0" w:firstLine="0"/>
        <w:jc w:val="left"/>
        <w:textAlignment w:val="auto"/>
        <w:rPr>
          <w:rFonts w:hint="eastAsia" w:ascii="黑体" w:hAnsi="黑体" w:eastAsia="黑体" w:cs="黑体"/>
          <w:bCs/>
          <w:sz w:val="22"/>
          <w:szCs w:val="22"/>
        </w:rPr>
      </w:pPr>
      <w:r>
        <w:rPr>
          <w:rFonts w:hint="eastAsia" w:ascii="黑体" w:hAnsi="黑体" w:eastAsia="黑体" w:cs="黑体"/>
          <w:bCs/>
          <w:sz w:val="22"/>
          <w:szCs w:val="22"/>
        </w:rPr>
        <w:t>请您知悉，我司仅就您本次住院治疗中属于保险责任的范围内提供医疗垫付服务，</w:t>
      </w:r>
      <w:r>
        <w:rPr>
          <w:rFonts w:hint="eastAsia" w:ascii="黑体" w:hAnsi="黑体" w:eastAsia="黑体" w:cs="黑体"/>
          <w:b/>
          <w:sz w:val="22"/>
          <w:szCs w:val="22"/>
        </w:rPr>
        <w:t>如您属于等待期且产生的医疗费用不在保险责任内、既往症限制、保险责任免赔额、超限额、医保范围内的费用，我司均不提供医疗垫付服务。同时，我司将根据您的保险责任、预计理赔金额、病历、当地医疗水平、预估治疗费用、医保情况以及我司的风控规则决定为您提供医疗垫付费用的金额。</w:t>
      </w:r>
    </w:p>
    <w:p>
      <w:pPr>
        <w:pStyle w:val="98"/>
        <w:keepNext w:val="0"/>
        <w:keepLines w:val="0"/>
        <w:pageBreakBefore w:val="0"/>
        <w:widowControl w:val="0"/>
        <w:numPr>
          <w:ilvl w:val="0"/>
          <w:numId w:val="13"/>
        </w:numPr>
        <w:kinsoku/>
        <w:wordWrap/>
        <w:overflowPunct/>
        <w:topLinePunct w:val="0"/>
        <w:autoSpaceDE w:val="0"/>
        <w:autoSpaceDN w:val="0"/>
        <w:bidi w:val="0"/>
        <w:adjustRightInd w:val="0"/>
        <w:snapToGrid w:val="0"/>
        <w:ind w:left="0" w:leftChars="0" w:firstLine="0"/>
        <w:jc w:val="left"/>
        <w:textAlignment w:val="auto"/>
        <w:rPr>
          <w:rFonts w:hint="eastAsia" w:ascii="黑体" w:hAnsi="黑体" w:eastAsia="黑体" w:cs="黑体"/>
          <w:bCs/>
          <w:sz w:val="22"/>
          <w:szCs w:val="22"/>
        </w:rPr>
      </w:pPr>
      <w:r>
        <w:rPr>
          <w:rFonts w:hint="eastAsia" w:ascii="黑体" w:hAnsi="黑体" w:eastAsia="黑体" w:cs="黑体"/>
          <w:bCs/>
          <w:sz w:val="22"/>
          <w:szCs w:val="22"/>
        </w:rPr>
        <w:t>您应如实向我司告知本次疾病相关的信息（包括医疗就诊信息以及事故发生情况），若未如实告知或隐瞒信息的，我司有权要求您返还所提供的医疗垫付费用。</w:t>
      </w:r>
    </w:p>
    <w:p>
      <w:pPr>
        <w:pStyle w:val="98"/>
        <w:keepNext w:val="0"/>
        <w:keepLines w:val="0"/>
        <w:pageBreakBefore w:val="0"/>
        <w:widowControl w:val="0"/>
        <w:numPr>
          <w:ilvl w:val="0"/>
          <w:numId w:val="13"/>
        </w:numPr>
        <w:kinsoku/>
        <w:wordWrap/>
        <w:overflowPunct/>
        <w:topLinePunct w:val="0"/>
        <w:autoSpaceDE w:val="0"/>
        <w:autoSpaceDN w:val="0"/>
        <w:bidi w:val="0"/>
        <w:adjustRightInd w:val="0"/>
        <w:snapToGrid w:val="0"/>
        <w:ind w:left="0" w:leftChars="0" w:firstLine="0"/>
        <w:jc w:val="left"/>
        <w:textAlignment w:val="auto"/>
        <w:rPr>
          <w:rFonts w:hint="eastAsia" w:ascii="黑体" w:hAnsi="黑体" w:eastAsia="黑体" w:cs="黑体"/>
          <w:bCs/>
          <w:sz w:val="22"/>
          <w:szCs w:val="22"/>
        </w:rPr>
      </w:pPr>
      <w:r>
        <w:rPr>
          <w:rFonts w:hint="eastAsia" w:ascii="黑体" w:hAnsi="黑体" w:eastAsia="黑体" w:cs="黑体"/>
          <w:bCs/>
          <w:sz w:val="22"/>
          <w:szCs w:val="22"/>
        </w:rPr>
        <w:t>如理赔金额大于医疗垫付金额，承保公司会将差额支付给您。</w:t>
      </w:r>
    </w:p>
    <w:p>
      <w:pPr>
        <w:pStyle w:val="98"/>
        <w:keepNext w:val="0"/>
        <w:keepLines w:val="0"/>
        <w:pageBreakBefore w:val="0"/>
        <w:widowControl w:val="0"/>
        <w:numPr>
          <w:ilvl w:val="0"/>
          <w:numId w:val="13"/>
        </w:numPr>
        <w:kinsoku/>
        <w:wordWrap/>
        <w:overflowPunct/>
        <w:topLinePunct w:val="0"/>
        <w:autoSpaceDE w:val="0"/>
        <w:autoSpaceDN w:val="0"/>
        <w:bidi w:val="0"/>
        <w:adjustRightInd w:val="0"/>
        <w:snapToGrid w:val="0"/>
        <w:ind w:left="0" w:leftChars="0" w:firstLine="0"/>
        <w:jc w:val="left"/>
        <w:textAlignment w:val="auto"/>
        <w:rPr>
          <w:rFonts w:hint="eastAsia" w:ascii="黑体" w:hAnsi="黑体" w:eastAsia="黑体" w:cs="黑体"/>
          <w:bCs/>
          <w:sz w:val="22"/>
          <w:szCs w:val="22"/>
        </w:rPr>
      </w:pPr>
      <w:r>
        <w:rPr>
          <w:rFonts w:hint="eastAsia" w:ascii="黑体" w:hAnsi="黑体" w:eastAsia="黑体" w:cs="黑体"/>
          <w:bCs/>
          <w:sz w:val="22"/>
          <w:szCs w:val="22"/>
        </w:rPr>
        <w:t>如理赔金额小于医疗垫付金额，我们会通知您归还差额部分。请您于接到我司通知之日起3日内向我司返还差额部分。若您未归还差额部分，我司保留通过各种法律途径追偿的权力。</w:t>
      </w:r>
    </w:p>
    <w:p>
      <w:pPr>
        <w:pStyle w:val="98"/>
        <w:keepNext w:val="0"/>
        <w:keepLines w:val="0"/>
        <w:pageBreakBefore w:val="0"/>
        <w:widowControl w:val="0"/>
        <w:numPr>
          <w:ilvl w:val="0"/>
          <w:numId w:val="13"/>
        </w:numPr>
        <w:kinsoku/>
        <w:wordWrap/>
        <w:overflowPunct/>
        <w:topLinePunct w:val="0"/>
        <w:autoSpaceDE w:val="0"/>
        <w:autoSpaceDN w:val="0"/>
        <w:bidi w:val="0"/>
        <w:adjustRightInd w:val="0"/>
        <w:snapToGrid w:val="0"/>
        <w:ind w:left="0" w:leftChars="0" w:firstLine="0"/>
        <w:jc w:val="left"/>
        <w:textAlignment w:val="auto"/>
        <w:rPr>
          <w:rFonts w:hint="eastAsia" w:ascii="黑体" w:hAnsi="黑体" w:eastAsia="黑体" w:cs="黑体"/>
          <w:bCs/>
          <w:sz w:val="22"/>
          <w:szCs w:val="22"/>
        </w:rPr>
      </w:pPr>
      <w:r>
        <w:rPr>
          <w:rFonts w:hint="eastAsia" w:ascii="黑体" w:hAnsi="黑体" w:eastAsia="黑体" w:cs="黑体"/>
          <w:sz w:val="22"/>
          <w:szCs w:val="22"/>
          <w:shd w:val="clear" w:color="auto" w:fill="FFFFFF"/>
        </w:rPr>
        <w:t>垫付一旦审核通过执行，出院后将收取您的以下材料：</w:t>
      </w:r>
    </w:p>
    <w:tbl>
      <w:tblPr>
        <w:tblStyle w:val="8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2497"/>
        <w:gridCol w:w="3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291" w:type="pct"/>
            <w:vAlign w:val="center"/>
          </w:tcPr>
          <w:p>
            <w:pPr>
              <w:pStyle w:val="81"/>
              <w:spacing w:beforeAutospacing="0" w:afterAutospacing="0" w:line="390" w:lineRule="atLeast"/>
              <w:jc w:val="center"/>
              <w:rPr>
                <w:rFonts w:hint="eastAsia" w:ascii="黑体" w:hAnsi="黑体" w:eastAsia="黑体" w:cs="黑体"/>
                <w:sz w:val="22"/>
                <w:szCs w:val="22"/>
                <w:shd w:val="clear" w:color="auto" w:fill="FFFFFF"/>
              </w:rPr>
            </w:pPr>
            <w:r>
              <w:rPr>
                <w:rFonts w:hint="eastAsia" w:ascii="黑体" w:hAnsi="黑体" w:eastAsia="黑体" w:cs="黑体"/>
                <w:sz w:val="22"/>
                <w:szCs w:val="22"/>
                <w:shd w:val="clear" w:color="auto" w:fill="FFFFFF"/>
              </w:rPr>
              <w:t>1.出院小结原件</w:t>
            </w:r>
          </w:p>
        </w:tc>
        <w:tc>
          <w:tcPr>
            <w:tcW w:w="1465" w:type="pct"/>
            <w:vAlign w:val="center"/>
          </w:tcPr>
          <w:p>
            <w:pPr>
              <w:pStyle w:val="81"/>
              <w:spacing w:beforeAutospacing="0" w:afterAutospacing="0" w:line="390" w:lineRule="atLeast"/>
              <w:jc w:val="center"/>
              <w:rPr>
                <w:rFonts w:hint="eastAsia" w:ascii="黑体" w:hAnsi="黑体" w:eastAsia="黑体" w:cs="黑体"/>
                <w:sz w:val="22"/>
                <w:szCs w:val="22"/>
                <w:shd w:val="clear" w:color="auto" w:fill="FFFFFF"/>
              </w:rPr>
            </w:pPr>
            <w:r>
              <w:rPr>
                <w:rFonts w:hint="eastAsia" w:ascii="黑体" w:hAnsi="黑体" w:eastAsia="黑体" w:cs="黑体"/>
                <w:sz w:val="22"/>
                <w:szCs w:val="22"/>
                <w:shd w:val="clear" w:color="auto" w:fill="FFFFFF"/>
              </w:rPr>
              <w:t>2.费用清单明细原件</w:t>
            </w:r>
          </w:p>
        </w:tc>
        <w:tc>
          <w:tcPr>
            <w:tcW w:w="2242" w:type="pct"/>
            <w:vAlign w:val="center"/>
          </w:tcPr>
          <w:p>
            <w:pPr>
              <w:pStyle w:val="81"/>
              <w:spacing w:beforeAutospacing="0" w:afterAutospacing="0" w:line="390" w:lineRule="atLeast"/>
              <w:jc w:val="center"/>
              <w:rPr>
                <w:rFonts w:hint="eastAsia" w:ascii="黑体" w:hAnsi="黑体" w:eastAsia="黑体" w:cs="黑体"/>
                <w:sz w:val="22"/>
                <w:szCs w:val="22"/>
                <w:shd w:val="clear" w:color="auto" w:fill="FFFFFF"/>
              </w:rPr>
            </w:pPr>
            <w:r>
              <w:rPr>
                <w:rFonts w:hint="eastAsia" w:ascii="黑体" w:hAnsi="黑体" w:eastAsia="黑体" w:cs="黑体"/>
                <w:sz w:val="22"/>
                <w:szCs w:val="22"/>
                <w:shd w:val="clear" w:color="auto" w:fill="FFFFFF"/>
              </w:rPr>
              <w:t>3. 住院病历原件（或复印件）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pct"/>
            <w:vAlign w:val="center"/>
          </w:tcPr>
          <w:p>
            <w:pPr>
              <w:pStyle w:val="81"/>
              <w:spacing w:beforeAutospacing="0" w:afterAutospacing="0" w:line="390" w:lineRule="atLeast"/>
              <w:jc w:val="center"/>
              <w:rPr>
                <w:rFonts w:hint="eastAsia" w:ascii="黑体" w:hAnsi="黑体" w:eastAsia="黑体" w:cs="黑体"/>
                <w:sz w:val="22"/>
                <w:szCs w:val="22"/>
                <w:shd w:val="clear" w:color="auto" w:fill="FFFFFF"/>
              </w:rPr>
            </w:pPr>
            <w:r>
              <w:rPr>
                <w:rFonts w:hint="eastAsia" w:ascii="黑体" w:hAnsi="黑体" w:eastAsia="黑体" w:cs="黑体"/>
                <w:sz w:val="22"/>
                <w:szCs w:val="22"/>
                <w:shd w:val="clear" w:color="auto" w:fill="FFFFFF"/>
              </w:rPr>
              <w:t>4. 住院发票原件</w:t>
            </w:r>
          </w:p>
        </w:tc>
        <w:tc>
          <w:tcPr>
            <w:tcW w:w="1465" w:type="pct"/>
            <w:vAlign w:val="center"/>
          </w:tcPr>
          <w:p>
            <w:pPr>
              <w:pStyle w:val="81"/>
              <w:spacing w:beforeAutospacing="0" w:afterAutospacing="0" w:line="390" w:lineRule="atLeast"/>
              <w:jc w:val="center"/>
              <w:rPr>
                <w:rFonts w:hint="eastAsia" w:ascii="黑体" w:hAnsi="黑体" w:eastAsia="黑体" w:cs="黑体"/>
                <w:sz w:val="22"/>
                <w:szCs w:val="22"/>
                <w:shd w:val="clear" w:color="auto" w:fill="FFFFFF"/>
              </w:rPr>
            </w:pPr>
            <w:r>
              <w:rPr>
                <w:rFonts w:hint="eastAsia" w:ascii="黑体" w:hAnsi="黑体" w:eastAsia="黑体" w:cs="黑体"/>
                <w:sz w:val="22"/>
                <w:szCs w:val="22"/>
                <w:shd w:val="clear" w:color="auto" w:fill="FFFFFF"/>
              </w:rPr>
              <w:t>5. 身份证复印件</w:t>
            </w:r>
          </w:p>
        </w:tc>
        <w:tc>
          <w:tcPr>
            <w:tcW w:w="2242" w:type="pct"/>
            <w:vAlign w:val="center"/>
          </w:tcPr>
          <w:p>
            <w:pPr>
              <w:pStyle w:val="81"/>
              <w:spacing w:beforeAutospacing="0" w:afterAutospacing="0" w:line="390" w:lineRule="atLeast"/>
              <w:jc w:val="center"/>
              <w:rPr>
                <w:rFonts w:hint="eastAsia" w:ascii="黑体" w:hAnsi="黑体" w:eastAsia="黑体" w:cs="黑体"/>
                <w:sz w:val="22"/>
                <w:szCs w:val="22"/>
                <w:shd w:val="clear" w:color="auto" w:fill="FFFFFF"/>
              </w:rPr>
            </w:pPr>
            <w:r>
              <w:rPr>
                <w:rFonts w:hint="eastAsia" w:ascii="黑体" w:hAnsi="黑体" w:eastAsia="黑体" w:cs="黑体"/>
                <w:sz w:val="22"/>
                <w:szCs w:val="22"/>
                <w:shd w:val="clear" w:color="auto" w:fill="FFFFFF"/>
              </w:rPr>
              <w:t>6. 门诊病历原件</w:t>
            </w:r>
          </w:p>
        </w:tc>
      </w:tr>
    </w:tbl>
    <w:p>
      <w:pPr>
        <w:pStyle w:val="98"/>
        <w:ind w:left="2880"/>
        <w:rPr>
          <w:rFonts w:hint="eastAsia" w:ascii="黑体" w:hAnsi="黑体" w:eastAsia="黑体" w:cs="黑体"/>
          <w:b/>
          <w:color w:val="auto"/>
          <w:sz w:val="22"/>
          <w:szCs w:val="22"/>
          <w:u w:val="single"/>
        </w:rPr>
      </w:pPr>
    </w:p>
    <w:p>
      <w:pPr>
        <w:pStyle w:val="98"/>
        <w:jc w:val="both"/>
        <w:rPr>
          <w:rFonts w:hint="eastAsia" w:ascii="黑体" w:hAnsi="黑体" w:eastAsia="黑体" w:cs="黑体"/>
          <w:b/>
          <w:sz w:val="22"/>
          <w:szCs w:val="22"/>
          <w:u w:val="single"/>
        </w:rPr>
      </w:pPr>
      <w:r>
        <w:rPr>
          <w:rFonts w:hint="eastAsia" w:ascii="黑体" w:hAnsi="黑体" w:eastAsia="黑体" w:cs="黑体"/>
          <w:b/>
          <w:sz w:val="22"/>
          <w:szCs w:val="22"/>
          <w:u w:val="single"/>
        </w:rPr>
        <w:t>反保险欺诈提示</w:t>
      </w:r>
    </w:p>
    <w:p>
      <w:pPr>
        <w:pStyle w:val="98"/>
        <w:ind w:right="-1"/>
        <w:jc w:val="both"/>
        <w:rPr>
          <w:rFonts w:hint="eastAsia" w:ascii="黑体" w:hAnsi="黑体" w:eastAsia="黑体" w:cs="黑体"/>
          <w:bCs/>
          <w:sz w:val="22"/>
          <w:szCs w:val="22"/>
        </w:rPr>
      </w:pPr>
      <w:r>
        <w:rPr>
          <w:rFonts w:hint="eastAsia" w:ascii="黑体" w:hAnsi="黑体" w:eastAsia="黑体" w:cs="黑体"/>
          <w:bCs/>
          <w:sz w:val="22"/>
          <w:szCs w:val="22"/>
        </w:rPr>
        <w:t>诚信是保险合同基本原则，涉嫌保险欺诈将承担以下责任：</w:t>
      </w:r>
    </w:p>
    <w:p>
      <w:pPr>
        <w:pStyle w:val="98"/>
        <w:ind w:right="240" w:rightChars="100"/>
        <w:rPr>
          <w:rFonts w:hint="eastAsia" w:ascii="黑体" w:hAnsi="黑体" w:eastAsia="黑体" w:cs="黑体"/>
          <w:bCs/>
          <w:sz w:val="22"/>
          <w:szCs w:val="22"/>
        </w:rPr>
      </w:pPr>
      <w:r>
        <w:rPr>
          <w:rFonts w:hint="eastAsia" w:ascii="黑体" w:hAnsi="黑体" w:eastAsia="黑体" w:cs="黑体"/>
          <w:bCs/>
          <w:sz w:val="22"/>
          <w:szCs w:val="22"/>
        </w:rPr>
        <w:t>【刑事责任】进行保险诈骗犯罪活动，可能会受到拘役、有期徒刑，并处罚金或者没收财产的刑事处罚。保险事故的鉴定人、证明人故意提供虚假的证明文件，为他人诈骗提供条件的，以保险诈骗罪的共犯论处。</w:t>
      </w:r>
    </w:p>
    <w:p>
      <w:pPr>
        <w:pStyle w:val="98"/>
        <w:ind w:right="240" w:rightChars="100"/>
        <w:rPr>
          <w:rFonts w:hint="eastAsia" w:ascii="黑体" w:hAnsi="黑体" w:eastAsia="黑体" w:cs="黑体"/>
          <w:bCs/>
          <w:sz w:val="22"/>
          <w:szCs w:val="22"/>
        </w:rPr>
      </w:pPr>
      <w:r>
        <w:rPr>
          <w:rFonts w:hint="eastAsia" w:ascii="黑体" w:hAnsi="黑体" w:eastAsia="黑体" w:cs="黑体"/>
          <w:bCs/>
          <w:sz w:val="22"/>
          <w:szCs w:val="22"/>
        </w:rPr>
        <w:t>【行政责任】进行保险诈骗活动，尚不构成犯罪的，可能会受到15日以下拘留、5000元以下罚款的行政处罚；保险事故的鉴定人、证明人故意提供虚假的证明文件，为他人诈骗提供条件的，也会受到相应的行政处罚。</w:t>
      </w:r>
    </w:p>
    <w:p>
      <w:pPr>
        <w:autoSpaceDE w:val="0"/>
        <w:autoSpaceDN w:val="0"/>
        <w:adjustRightInd w:val="0"/>
        <w:spacing w:line="276" w:lineRule="auto"/>
        <w:ind w:right="-1"/>
        <w:rPr>
          <w:rFonts w:hint="eastAsia" w:ascii="黑体" w:hAnsi="黑体" w:eastAsia="黑体" w:cs="黑体"/>
          <w:bCs/>
          <w:sz w:val="22"/>
          <w:szCs w:val="22"/>
        </w:rPr>
      </w:pPr>
      <w:r>
        <w:rPr>
          <w:rFonts w:hint="eastAsia" w:ascii="黑体" w:hAnsi="黑体" w:eastAsia="黑体" w:cs="黑体"/>
          <w:bCs/>
          <w:sz w:val="22"/>
          <w:szCs w:val="22"/>
        </w:rPr>
        <w:t>【民事责任】故意或因重大过失未履行如实告知义务，保险公司不承担赔偿或给付保险金的责任。</w:t>
      </w:r>
    </w:p>
    <w:p>
      <w:pPr>
        <w:ind w:right="-320"/>
        <w:rPr>
          <w:rFonts w:hint="eastAsia" w:ascii="黑体" w:hAnsi="黑体" w:eastAsia="黑体" w:cs="黑体"/>
          <w:b/>
          <w:sz w:val="22"/>
          <w:szCs w:val="22"/>
        </w:rPr>
        <w:sectPr>
          <w:pgSz w:w="11906" w:h="16838"/>
          <w:pgMar w:top="1440" w:right="1800" w:bottom="709" w:left="1800" w:header="851" w:footer="992" w:gutter="0"/>
          <w:cols w:space="425" w:num="1"/>
          <w:docGrid w:type="lines" w:linePitch="312" w:charSpace="0"/>
        </w:sectPr>
      </w:pPr>
    </w:p>
    <w:tbl>
      <w:tblPr>
        <w:tblStyle w:val="88"/>
        <w:tblpPr w:leftFromText="180" w:rightFromText="180" w:vertAnchor="text" w:horzAnchor="page" w:tblpX="1693" w:tblpY="107"/>
        <w:tblOverlap w:val="never"/>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505" w:type="dxa"/>
            <w:gridSpan w:val="2"/>
            <w:tcBorders>
              <w:top w:val="nil"/>
              <w:left w:val="nil"/>
              <w:bottom w:val="single" w:color="auto" w:sz="4" w:space="0"/>
              <w:right w:val="nil"/>
            </w:tcBorders>
          </w:tcPr>
          <w:p>
            <w:pPr>
              <w:ind w:right="-320"/>
              <w:rPr>
                <w:rFonts w:hint="eastAsia" w:ascii="黑体" w:hAnsi="黑体" w:eastAsia="黑体" w:cs="黑体"/>
                <w:b/>
                <w:sz w:val="22"/>
                <w:szCs w:val="22"/>
              </w:rPr>
            </w:pPr>
            <w:r>
              <w:rPr>
                <w:rFonts w:hint="eastAsia" w:ascii="黑体" w:hAnsi="黑体" w:eastAsia="黑体" w:cs="黑体"/>
                <w:b/>
                <w:sz w:val="22"/>
                <w:szCs w:val="22"/>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trPr>
        <w:tc>
          <w:tcPr>
            <w:tcW w:w="8505" w:type="dxa"/>
            <w:gridSpan w:val="2"/>
            <w:tcBorders>
              <w:top w:val="single" w:color="auto" w:sz="4" w:space="0"/>
              <w:bottom w:val="nil"/>
            </w:tcBorders>
          </w:tcPr>
          <w:p>
            <w:pPr>
              <w:rPr>
                <w:rFonts w:hint="eastAsia" w:ascii="黑体" w:hAnsi="黑体" w:eastAsia="黑体" w:cs="黑体"/>
                <w:b/>
                <w:color w:val="000000"/>
                <w:sz w:val="22"/>
                <w:szCs w:val="22"/>
              </w:rPr>
            </w:pPr>
            <w:r>
              <w:rPr>
                <w:rFonts w:hint="eastAsia" w:ascii="黑体" w:hAnsi="黑体" w:eastAsia="黑体" w:cs="黑体"/>
                <w:b/>
                <w:color w:val="000000"/>
                <w:sz w:val="22"/>
                <w:szCs w:val="22"/>
              </w:rPr>
              <w:t>一、个人声明</w:t>
            </w:r>
          </w:p>
          <w:p>
            <w:pPr>
              <w:ind w:firstLine="440" w:firstLineChars="200"/>
              <w:rPr>
                <w:rFonts w:hint="eastAsia" w:ascii="黑体" w:hAnsi="黑体" w:eastAsia="黑体" w:cs="黑体"/>
                <w:bCs/>
                <w:color w:val="000000"/>
                <w:sz w:val="22"/>
                <w:szCs w:val="22"/>
              </w:rPr>
            </w:pPr>
            <w:r>
              <w:rPr>
                <w:rFonts w:hint="eastAsia" w:ascii="黑体" w:hAnsi="黑体" w:eastAsia="黑体" w:cs="黑体"/>
                <w:bCs/>
                <w:color w:val="000000"/>
                <w:sz w:val="22"/>
                <w:szCs w:val="22"/>
              </w:rPr>
              <w:t>1、本人保证医疗垫付申请书上所填写的内容真实详尽，且已阅读并知晓《保险反欺诈提示》；如有虚假不实或隐瞒情况，商涌科技有权依法追究法律责任；</w:t>
            </w:r>
          </w:p>
          <w:p>
            <w:pPr>
              <w:rPr>
                <w:rFonts w:hint="eastAsia" w:ascii="黑体" w:hAnsi="黑体" w:eastAsia="黑体" w:cs="黑体"/>
                <w:bCs/>
                <w:color w:val="000000"/>
                <w:sz w:val="22"/>
                <w:szCs w:val="22"/>
              </w:rPr>
            </w:pPr>
            <w:r>
              <w:rPr>
                <w:rFonts w:hint="eastAsia" w:ascii="黑体" w:hAnsi="黑体" w:eastAsia="黑体" w:cs="黑体"/>
                <w:bCs/>
                <w:color w:val="000000"/>
                <w:sz w:val="22"/>
                <w:szCs w:val="22"/>
              </w:rPr>
              <w:t xml:space="preserve">    2、本人授权商涌科技依据《医疗机构病例管理规定》、《电子病历基本规范（试行）》和《中医电子病历基本规范（试行）》等相关法律法规许可范围内调取及复印被保险人病历；</w:t>
            </w:r>
          </w:p>
          <w:p>
            <w:pPr>
              <w:rPr>
                <w:rFonts w:hint="eastAsia" w:ascii="黑体" w:hAnsi="黑体" w:eastAsia="黑体" w:cs="黑体"/>
                <w:bCs/>
                <w:color w:val="000000"/>
                <w:sz w:val="22"/>
                <w:szCs w:val="22"/>
              </w:rPr>
            </w:pPr>
            <w:r>
              <w:rPr>
                <w:rFonts w:hint="eastAsia" w:ascii="黑体" w:hAnsi="黑体" w:eastAsia="黑体" w:cs="黑体"/>
                <w:bCs/>
                <w:color w:val="000000"/>
                <w:sz w:val="22"/>
                <w:szCs w:val="22"/>
              </w:rPr>
              <w:t xml:space="preserve">    3、本人自行负责因账号提供错误导致划账不成功的后果；</w:t>
            </w:r>
          </w:p>
          <w:p>
            <w:pPr>
              <w:rPr>
                <w:rFonts w:hint="eastAsia" w:ascii="黑体" w:hAnsi="黑体" w:eastAsia="黑体" w:cs="黑体"/>
                <w:bCs/>
                <w:color w:val="000000"/>
                <w:sz w:val="22"/>
                <w:szCs w:val="22"/>
              </w:rPr>
            </w:pPr>
            <w:r>
              <w:rPr>
                <w:rFonts w:hint="eastAsia" w:ascii="黑体" w:hAnsi="黑体" w:eastAsia="黑体" w:cs="黑体"/>
                <w:bCs/>
                <w:color w:val="000000"/>
                <w:sz w:val="22"/>
                <w:szCs w:val="22"/>
              </w:rPr>
              <w:t xml:space="preserve">    4、本人同意承担因报案通知延迟致使本次事故责任无法确定的相关责任;</w:t>
            </w:r>
          </w:p>
          <w:p>
            <w:pPr>
              <w:rPr>
                <w:rFonts w:hint="eastAsia" w:ascii="黑体" w:hAnsi="黑体" w:eastAsia="黑体" w:cs="黑体"/>
                <w:bCs/>
                <w:color w:val="000000"/>
                <w:sz w:val="22"/>
                <w:szCs w:val="22"/>
              </w:rPr>
            </w:pPr>
            <w:r>
              <w:rPr>
                <w:rFonts w:hint="eastAsia" w:ascii="黑体" w:hAnsi="黑体" w:eastAsia="黑体" w:cs="黑体"/>
                <w:bCs/>
                <w:color w:val="000000"/>
                <w:sz w:val="22"/>
                <w:szCs w:val="22"/>
              </w:rPr>
              <w:t xml:space="preserve">    5、本人申明所提交的索赔信息以及索赔材料均真实、准确，并承诺如商涌科技有需要验证索赔材料原件，将予以配合。 </w:t>
            </w:r>
          </w:p>
          <w:p>
            <w:pPr>
              <w:rPr>
                <w:rFonts w:hint="eastAsia" w:ascii="黑体" w:hAnsi="黑体" w:eastAsia="黑体" w:cs="黑体"/>
                <w:b/>
                <w:color w:val="000000"/>
                <w:sz w:val="22"/>
                <w:szCs w:val="22"/>
              </w:rPr>
            </w:pPr>
            <w:r>
              <w:rPr>
                <w:rFonts w:hint="eastAsia" w:ascii="黑体" w:hAnsi="黑体" w:eastAsia="黑体" w:cs="黑体"/>
                <w:b/>
                <w:color w:val="000000"/>
                <w:sz w:val="22"/>
                <w:szCs w:val="22"/>
              </w:rPr>
              <w:t>二、隐私声明</w:t>
            </w:r>
          </w:p>
          <w:p>
            <w:pPr>
              <w:rPr>
                <w:rFonts w:hint="eastAsia" w:ascii="黑体" w:hAnsi="黑体" w:eastAsia="黑体" w:cs="黑体"/>
                <w:bCs/>
                <w:sz w:val="22"/>
                <w:szCs w:val="22"/>
              </w:rPr>
            </w:pPr>
            <w:r>
              <w:rPr>
                <w:rFonts w:hint="eastAsia" w:ascii="黑体" w:hAnsi="黑体" w:eastAsia="黑体" w:cs="黑体"/>
                <w:bCs/>
                <w:sz w:val="22"/>
                <w:szCs w:val="22"/>
              </w:rPr>
              <w:t xml:space="preserve">    您本次提交的相关资料，代表您在知情和同意的情况下，自愿向商涌科技提供您的个人用户信息，例如姓名、通讯地址、电邮地址、联系电话、身份证号码等（以下简称"个人信息"）用于此次医疗垫资服务。同意商涌科技向承保公司获取您留存的个人身份用户信息及相关保单信息，用于此次医疗垫资服务。</w:t>
            </w:r>
          </w:p>
          <w:p>
            <w:pPr>
              <w:rPr>
                <w:rFonts w:hint="eastAsia" w:ascii="黑体" w:hAnsi="黑体" w:eastAsia="黑体" w:cs="黑体"/>
                <w:bCs/>
                <w:sz w:val="22"/>
                <w:szCs w:val="22"/>
              </w:rPr>
            </w:pPr>
            <w:r>
              <w:rPr>
                <w:rFonts w:hint="eastAsia" w:ascii="黑体" w:hAnsi="黑体" w:eastAsia="黑体" w:cs="黑体"/>
                <w:bCs/>
                <w:sz w:val="22"/>
                <w:szCs w:val="22"/>
              </w:rPr>
              <w:t xml:space="preserve">    您知晓并同意当您通过电话要求提供服务时，通话可能会被录音，以确保服务质量及确保您个人信息的准确性。</w:t>
            </w:r>
          </w:p>
          <w:p>
            <w:pPr>
              <w:rPr>
                <w:rFonts w:hint="eastAsia" w:ascii="黑体" w:hAnsi="黑体" w:eastAsia="黑体" w:cs="黑体"/>
                <w:bCs/>
                <w:sz w:val="22"/>
                <w:szCs w:val="22"/>
              </w:rPr>
            </w:pPr>
            <w:r>
              <w:rPr>
                <w:rFonts w:hint="eastAsia" w:ascii="黑体" w:hAnsi="黑体" w:eastAsia="黑体" w:cs="黑体"/>
                <w:bCs/>
                <w:sz w:val="22"/>
                <w:szCs w:val="22"/>
              </w:rPr>
              <w:t xml:space="preserve">    您向商涌科技提供的个人信息将用于为您提供更好的服务。您知晓并同意，在必要情形下第三方可能接触并使用您的个人信息，包括得到授权的商涌科技员工、以及不时执行与我们的业务有关工作的其他公司或人员，如您的承保公司。所有此类人员及公司均需遵守相关保密协议，同时也需遵守国家关于个人信息保护有关法律法规，以确保您的个人信息随时得到保护。</w:t>
            </w:r>
          </w:p>
          <w:p>
            <w:pPr>
              <w:rPr>
                <w:rFonts w:hint="eastAsia" w:ascii="黑体" w:hAnsi="黑体" w:eastAsia="黑体" w:cs="黑体"/>
                <w:bCs/>
                <w:sz w:val="22"/>
                <w:szCs w:val="22"/>
              </w:rPr>
            </w:pPr>
            <w:r>
              <w:rPr>
                <w:rFonts w:hint="eastAsia" w:ascii="黑体" w:hAnsi="黑体" w:eastAsia="黑体" w:cs="黑体"/>
                <w:bCs/>
                <w:sz w:val="22"/>
                <w:szCs w:val="22"/>
              </w:rPr>
              <w:t xml:space="preserve">    除上述用途外，商涌科技不会将您的个人信息用于任何未经您同意的用途。除了我们的业务合作伙伴、我们的法律顾问、外部审计机构或按照法律规定、监管规定或法庭裁决之外，我们不会将所接受的任何个人信息泄露、篡改、毁损、出售或者提供给任何第三方。</w:t>
            </w:r>
          </w:p>
          <w:p>
            <w:pPr>
              <w:rPr>
                <w:rFonts w:hint="eastAsia" w:ascii="黑体" w:hAnsi="黑体" w:eastAsia="黑体" w:cs="黑体"/>
                <w:bCs/>
                <w:sz w:val="22"/>
                <w:szCs w:val="22"/>
              </w:rPr>
            </w:pPr>
            <w:r>
              <w:rPr>
                <w:rFonts w:hint="eastAsia" w:ascii="黑体" w:hAnsi="黑体" w:eastAsia="黑体" w:cs="黑体"/>
                <w:bCs/>
                <w:sz w:val="22"/>
                <w:szCs w:val="22"/>
              </w:rPr>
              <w:t xml:space="preserve">    商涌科技遵守现行的关于个人信息、数据及隐私保护的法律法规，采取充分的技术手段和制度管理，保护您提供给我们的个人信息、数据和隐私不受到非法的泄露或披露给未获授权的第三方。</w:t>
            </w:r>
          </w:p>
          <w:p>
            <w:pPr>
              <w:rPr>
                <w:rFonts w:hint="eastAsia" w:ascii="黑体" w:hAnsi="黑体" w:eastAsia="黑体" w:cs="黑体"/>
                <w:bCs/>
                <w:sz w:val="22"/>
                <w:szCs w:val="22"/>
              </w:rPr>
            </w:pPr>
            <w:r>
              <w:rPr>
                <w:rFonts w:hint="eastAsia" w:ascii="黑体" w:hAnsi="黑体" w:eastAsia="黑体" w:cs="黑体"/>
                <w:bCs/>
                <w:sz w:val="22"/>
                <w:szCs w:val="22"/>
              </w:rPr>
              <w:t xml:space="preserve">    您可以提交书面请求以查阅您的个人信息，或要求对错误的信息进行更正、修改或删除。如果您的个人信息有任何变动，请通知我们以便我们保持信息更新并提供更好的服务。此外，您可以通过书面方式要求商涌科技从数据库中取消您所登记的任何保险服务并停止使用您的个人信息。</w:t>
            </w:r>
          </w:p>
          <w:p>
            <w:pPr>
              <w:ind w:firstLine="420"/>
              <w:rPr>
                <w:rFonts w:hint="eastAsia" w:ascii="黑体" w:hAnsi="黑体" w:eastAsia="黑体" w:cs="黑体"/>
                <w:bCs/>
                <w:sz w:val="22"/>
                <w:szCs w:val="22"/>
              </w:rPr>
            </w:pPr>
            <w:r>
              <w:rPr>
                <w:rFonts w:hint="eastAsia" w:ascii="黑体" w:hAnsi="黑体" w:eastAsia="黑体" w:cs="黑体"/>
                <w:bCs/>
                <w:sz w:val="22"/>
                <w:szCs w:val="22"/>
              </w:rPr>
              <w:t>商涌科技"隐私声明"体现了我们将按照国家关于个人信息保护有关法律法规保护和管理您个人信息的承诺，我们会根据不时修订的相关法规要求更新本"隐私声明"。</w:t>
            </w:r>
          </w:p>
          <w:p>
            <w:pPr>
              <w:rPr>
                <w:rFonts w:hint="eastAsia" w:ascii="黑体" w:hAnsi="黑体" w:eastAsia="黑体" w:cs="黑体"/>
                <w:b/>
                <w:bCs/>
                <w:sz w:val="22"/>
                <w:szCs w:val="22"/>
              </w:rPr>
            </w:pPr>
            <w:r>
              <w:rPr>
                <w:rFonts w:hint="eastAsia" w:ascii="黑体" w:hAnsi="黑体" w:eastAsia="黑体" w:cs="黑体"/>
                <w:b/>
                <w:bCs/>
                <w:sz w:val="22"/>
                <w:szCs w:val="22"/>
              </w:rPr>
              <w:t>三、管辖声明</w:t>
            </w:r>
          </w:p>
          <w:p>
            <w:pPr>
              <w:ind w:firstLine="440" w:firstLineChars="200"/>
              <w:rPr>
                <w:rFonts w:hint="eastAsia" w:ascii="黑体" w:hAnsi="黑体" w:eastAsia="黑体" w:cs="黑体"/>
                <w:bCs/>
                <w:sz w:val="22"/>
                <w:szCs w:val="22"/>
              </w:rPr>
            </w:pPr>
            <w:r>
              <w:rPr>
                <w:rFonts w:hint="eastAsia" w:ascii="黑体" w:hAnsi="黑体" w:eastAsia="黑体" w:cs="黑体"/>
                <w:bCs/>
                <w:sz w:val="22"/>
                <w:szCs w:val="22"/>
              </w:rPr>
              <w:t>您同意，商涌科技与您任何一方因垫付服务所产生的争议，应尽力友好协商解决；协商不成时，任何一方有权向商涌科技住所地有管辖权的人民法院提起诉讼。</w:t>
            </w:r>
          </w:p>
          <w:p>
            <w:pPr>
              <w:rPr>
                <w:rFonts w:hint="eastAsia" w:ascii="黑体" w:hAnsi="黑体" w:eastAsia="黑体" w:cs="黑体"/>
                <w:bCs/>
                <w:sz w:val="22"/>
                <w:szCs w:val="22"/>
              </w:rPr>
            </w:pPr>
          </w:p>
          <w:p>
            <w:pPr>
              <w:rPr>
                <w:rFonts w:hint="eastAsia" w:ascii="黑体" w:hAnsi="黑体" w:eastAsia="黑体" w:cs="黑体"/>
                <w:bCs/>
                <w:sz w:val="22"/>
                <w:szCs w:val="22"/>
              </w:rPr>
            </w:pPr>
          </w:p>
          <w:p>
            <w:pPr>
              <w:rPr>
                <w:rFonts w:hint="eastAsia" w:ascii="黑体" w:hAnsi="黑体" w:eastAsia="黑体" w:cs="黑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828" w:type="dxa"/>
            <w:tcBorders>
              <w:top w:val="nil"/>
              <w:left w:val="single" w:color="auto" w:sz="4" w:space="0"/>
              <w:bottom w:val="single" w:color="auto" w:sz="4" w:space="0"/>
              <w:right w:val="nil"/>
            </w:tcBorders>
            <w:vAlign w:val="center"/>
          </w:tcPr>
          <w:p>
            <w:pPr>
              <w:ind w:right="-320"/>
              <w:rPr>
                <w:rFonts w:hint="eastAsia" w:ascii="黑体" w:hAnsi="黑体" w:eastAsia="黑体" w:cs="黑体"/>
                <w:b/>
                <w:sz w:val="22"/>
                <w:szCs w:val="22"/>
              </w:rPr>
            </w:pPr>
            <w:r>
              <w:rPr>
                <w:rFonts w:hint="eastAsia" w:ascii="黑体" w:hAnsi="黑体" w:eastAsia="黑体" w:cs="黑体"/>
                <w:b/>
                <w:sz w:val="22"/>
                <w:szCs w:val="22"/>
              </w:rPr>
              <w:t>申请人签名</w:t>
            </w:r>
            <w:r>
              <w:rPr>
                <w:rFonts w:hint="eastAsia" w:ascii="黑体" w:hAnsi="黑体" w:eastAsia="黑体" w:cs="黑体"/>
                <w:bCs/>
                <w:sz w:val="22"/>
                <w:szCs w:val="22"/>
              </w:rPr>
              <w:t>*</w:t>
            </w:r>
            <w:r>
              <w:rPr>
                <w:rFonts w:hint="eastAsia" w:ascii="黑体" w:hAnsi="黑体" w:eastAsia="黑体" w:cs="黑体"/>
                <w:b/>
                <w:sz w:val="22"/>
                <w:szCs w:val="22"/>
              </w:rPr>
              <w:t xml:space="preserve">：                             </w:t>
            </w:r>
          </w:p>
          <w:p>
            <w:pPr>
              <w:ind w:right="-320"/>
              <w:rPr>
                <w:rFonts w:hint="eastAsia" w:ascii="黑体" w:hAnsi="黑体" w:eastAsia="黑体" w:cs="黑体"/>
                <w:b/>
                <w:sz w:val="22"/>
                <w:szCs w:val="22"/>
              </w:rPr>
            </w:pPr>
          </w:p>
        </w:tc>
        <w:tc>
          <w:tcPr>
            <w:tcW w:w="4677" w:type="dxa"/>
            <w:tcBorders>
              <w:top w:val="nil"/>
              <w:left w:val="nil"/>
              <w:bottom w:val="single" w:color="auto" w:sz="4" w:space="0"/>
              <w:right w:val="single" w:color="auto" w:sz="4" w:space="0"/>
            </w:tcBorders>
            <w:vAlign w:val="center"/>
          </w:tcPr>
          <w:p>
            <w:pPr>
              <w:ind w:right="-320"/>
              <w:rPr>
                <w:rFonts w:hint="eastAsia" w:ascii="黑体" w:hAnsi="黑体" w:eastAsia="黑体" w:cs="黑体"/>
                <w:b/>
                <w:sz w:val="22"/>
                <w:szCs w:val="22"/>
              </w:rPr>
            </w:pPr>
            <w:r>
              <w:rPr>
                <w:rFonts w:hint="eastAsia" w:ascii="黑体" w:hAnsi="黑体" w:eastAsia="黑体" w:cs="黑体"/>
                <w:b/>
                <w:sz w:val="22"/>
                <w:szCs w:val="22"/>
              </w:rPr>
              <w:t>申请日期*：      年      月      日</w:t>
            </w:r>
          </w:p>
          <w:p>
            <w:pPr>
              <w:ind w:right="-320"/>
              <w:rPr>
                <w:rFonts w:hint="eastAsia" w:ascii="黑体" w:hAnsi="黑体" w:eastAsia="黑体" w:cs="黑体"/>
                <w:b/>
                <w:sz w:val="22"/>
                <w:szCs w:val="22"/>
              </w:rPr>
            </w:pPr>
          </w:p>
        </w:tc>
      </w:tr>
    </w:tbl>
    <w:p>
      <w:pPr>
        <w:spacing w:line="360" w:lineRule="auto"/>
        <w:rPr>
          <w:rFonts w:hint="eastAsia" w:ascii="黑体" w:hAnsi="黑体" w:eastAsia="黑体"/>
          <w:b/>
          <w:kern w:val="0"/>
          <w:sz w:val="32"/>
          <w:szCs w:val="28"/>
          <w:lang w:eastAsia="zh-CN"/>
        </w:rPr>
      </w:pPr>
      <w:r>
        <w:rPr>
          <w:rFonts w:hint="eastAsia" w:ascii="黑体" w:hAnsi="黑体" w:eastAsia="黑体"/>
          <w:b/>
          <w:kern w:val="0"/>
          <w:sz w:val="32"/>
          <w:szCs w:val="28"/>
        </w:rPr>
        <w:t>附件</w:t>
      </w:r>
      <w:r>
        <w:rPr>
          <w:rFonts w:hint="eastAsia" w:ascii="黑体" w:hAnsi="黑体" w:eastAsia="黑体"/>
          <w:b/>
          <w:kern w:val="0"/>
          <w:sz w:val="32"/>
          <w:szCs w:val="28"/>
          <w:lang w:val="en-US" w:eastAsia="zh-CN"/>
        </w:rPr>
        <w:t>6</w:t>
      </w:r>
      <w:r>
        <w:rPr>
          <w:rFonts w:hint="eastAsia" w:ascii="黑体" w:hAnsi="黑体" w:eastAsia="黑体"/>
          <w:b/>
          <w:kern w:val="0"/>
          <w:sz w:val="32"/>
          <w:szCs w:val="28"/>
        </w:rPr>
        <w:t>：住院医疗费用垫付</w:t>
      </w:r>
      <w:r>
        <w:rPr>
          <w:rFonts w:hint="eastAsia" w:ascii="黑体" w:hAnsi="黑体" w:eastAsia="黑体"/>
          <w:b/>
          <w:kern w:val="0"/>
          <w:sz w:val="32"/>
          <w:szCs w:val="28"/>
          <w:lang w:eastAsia="zh-CN"/>
        </w:rPr>
        <w:t>医院列表</w:t>
      </w:r>
    </w:p>
    <w:tbl>
      <w:tblPr>
        <w:tblStyle w:val="88"/>
        <w:tblW w:w="66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976"/>
        <w:gridCol w:w="5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22"/>
                <w:szCs w:val="22"/>
                <w:u w:val="none"/>
              </w:rPr>
            </w:pPr>
            <w:r>
              <w:rPr>
                <w:rFonts w:hint="eastAsia" w:ascii="黑体" w:hAnsi="黑体" w:eastAsia="黑体" w:cs="黑体"/>
                <w:b/>
                <w:bCs/>
                <w:i w:val="0"/>
                <w:iCs w:val="0"/>
                <w:color w:val="auto"/>
                <w:kern w:val="0"/>
                <w:sz w:val="22"/>
                <w:szCs w:val="22"/>
                <w:u w:val="none"/>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22"/>
                <w:szCs w:val="22"/>
                <w:u w:val="none"/>
              </w:rPr>
            </w:pPr>
            <w:r>
              <w:rPr>
                <w:rFonts w:hint="eastAsia" w:ascii="黑体" w:hAnsi="黑体" w:eastAsia="黑体" w:cs="黑体"/>
                <w:b/>
                <w:bCs/>
                <w:i w:val="0"/>
                <w:iCs w:val="0"/>
                <w:color w:val="auto"/>
                <w:kern w:val="0"/>
                <w:sz w:val="22"/>
                <w:szCs w:val="22"/>
                <w:u w:val="none"/>
                <w:lang w:val="en-US" w:eastAsia="zh-CN" w:bidi="ar"/>
              </w:rPr>
              <w:t>省份</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22"/>
                <w:szCs w:val="22"/>
                <w:u w:val="none"/>
              </w:rPr>
            </w:pPr>
            <w:r>
              <w:rPr>
                <w:rFonts w:hint="eastAsia" w:ascii="黑体" w:hAnsi="黑体" w:eastAsia="黑体" w:cs="黑体"/>
                <w:b/>
                <w:bCs/>
                <w:i w:val="0"/>
                <w:iCs w:val="0"/>
                <w:color w:val="auto"/>
                <w:kern w:val="0"/>
                <w:sz w:val="22"/>
                <w:szCs w:val="22"/>
                <w:u w:val="none"/>
                <w:lang w:val="en-US" w:eastAsia="zh-CN" w:bidi="ar"/>
              </w:rPr>
              <w:t>医院名称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四川大学华西第二医院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四川大学华西第四医院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四川大学华西口腔医院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四川大学华西医院西藏成办分院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四川省第二中医医院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成都市第五人民医院（西区）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四川省骨科医院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四川省建筑医院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四川省中西医结合医院（主院区）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成都中医药大学附属医院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成都市成华区妇幼保健院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成都市成华区人民医院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成都市第二人民医院（庆云院区）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成都市第十人民医院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成都市妇女儿童中心医院（中心院区）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成都市金牛区妇幼保健院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成都市金牛区人民医院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成都市锦江区人民医院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成都市龙泉驿区第一人民医院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成都市龙泉驿区中医医院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成都市青白江区人民医院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成都市青羊区妇幼保健院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成都市青羊区中医医院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成都市天府新区人民医院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成都市武侯区人民医院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成都市新都区第二人民医院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成都医学院第一附属医院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阿坝藏族羌族自治州人民医院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四川省巴中市人民医院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成都第一骨科医院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成都儿童专科医院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成都肛肠专科医院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四川省第三人民医院（沿山路院区）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成都军区八一骨科医院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成都军区总医院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西南医科大学附属成都三六三医院（武侯院区）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崇州市第二人民医院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崇州市人民医院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大邑县妇幼保健院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都江堰市第二人民医院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都江堰市妇幼保健院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都江堰市人民医院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都江堰市中医医院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华西医科大学附属第三医院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四川大学华西医院（上锦院区）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解放军第452医院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彭州市妇幼保健院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彭州市人民医院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郫县第二人民医院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郫县人民医院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蒲江县中医院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邛崃市医疗中心医院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双流县第一人民医院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新都区中医院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新津县人民医院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中国人民解放军成都军区八一骨科医院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中国人民解放军第四五二医院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中铁二局集团中心医院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达州市中心医院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四川省德阳市人民医院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甘孜藏族自治州人民医院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广安市广安区人民医院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四川省广元市人民医院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四川省乐山市人民医院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广安市中医医院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古蔺县人民医院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古蔺县中医院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合江县人民医院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合江县中医医院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泸县第二人民医院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泸县人民医院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泸州市第二人民医院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四川大学华西医院（总院区）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泸州市妇幼保健院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泸州市龙马潭区中医医院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泸州市纳溪区人民医院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泸州市纳溪区中医院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泸州市人民医院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泸州市中医院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西南医科大学附属医院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西南医科大学附属口腔医院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西南医科大学附属中医医院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叙永县人民医院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叙永县中医医院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四川省绵阳市中心医院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川北医学院附属医院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四川省内江市第一人民医院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攀枝花市中心医院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遂宁市中心医院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四川省凉山彝族自治州第一人民医院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雅安市人民医院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宜宾市第一人民医院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四川省自贡市第一人民医院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北京北郊肿瘤医院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北京博爱医院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北京大学第六医院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北京大学第三医院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北京大学第一医院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北京大学国际医院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北京大学口腔医院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北京大学人民医院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北京大学首钢医院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北京大学肿瘤医院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首都医科大学附属北京地坛医院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北京电力医院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北京东城区妇幼保健院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北京二龙路医院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北京丰台医院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北京妇产医院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首都医科大学附属复兴医院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北京市公安医院二部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北京航天总医院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北京华信医院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北京怀柔医院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北京怀柔中医医院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北京回龙观医院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北京积水潭医院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北京结核病控制研究所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首都医科大学附属北京康复医院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北京市隆福医院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应急总医院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北京市昌平区南口铁路医院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北京市仁和医院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北京市石景山医院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北京世纪坛医院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北京市昌平区中西医结合医院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北京市朝阳区垂杨柳急救站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北京市大兴区妇幼保健院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北京市大兴区中西医结合医院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北京市大兴区人民医院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北京市第六医院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北京市第一中西医结合医院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北京市鼓楼中医医院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北京市和平里医院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北京市红十字会急诊抢救中心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北京市密云区医院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北京市通州区中医医院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北京市延庆区医院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北京市延庆区中医院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北京顺义区空港医院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北京小汤山医院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首都医科大学附属北京胸科医院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北京市中关村医院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北京中日友好医院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北京中医药大学第三附属医院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北京中医药大学东方医院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首都医科大学附属北京中医医院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北京市昌平区医院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北京市朝阳区妇幼保健院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北京市朝阳区双桥医院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朝阳区中医院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东城区第一人民医院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北京市大兴区中医医院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房山第一医院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北京市房山区中医医院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丰台区铁营医院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海淀区妇幼保健院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航空总医院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护国寺中医医院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北京市回民医院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积水潭医院回龙观分院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中国人民解放军第306医院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中国人民解放军总医院第一附属医院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门头沟区医院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北京市门头沟区中医医院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北京市丰台区南苑医院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北京市昌平区沙河医院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首都儿科研究所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首都医科大学附属北京安定医院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首都医科大学附属北京安贞医院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首都医科大学附属北京儿童医院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首都医科大学附属北京口腔医院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首都医科大学附属北京潞河医院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首都医科大学附属北京天坛医院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首都医科大学附属北京同仁医院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首都医科大学附属北京宣武医院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首都医科大学附属北京友谊医院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首都医科大学附属北京佑安医院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北京市房山区良乡医院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北京市顺义区中医医院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北京市西城区广外医院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北京市西城区平安医院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北京市宣武中医医院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展览路医院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中国人民解放军总医院第一医学中心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中国医学科学院北京协和医院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中国医学科学院阜外医院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中国医学科学院整形外科医院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中国医学科学院肿瘤医院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中国中医科学院望京医院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中医科学院西苑医院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中医研究院广安门医院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中医药大学东直门医院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安徽省安庆市立医院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蚌埠市第二人民医院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蚌埠市第三人民医院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蚌埠市第四人民医院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蚌埠市第一人民医院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蚌埠市妇幼保健院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蚌埠市中医医院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安徽蚌埠医学院第二附属医院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蚌埠医学院第一附属医院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固镇县人民医院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怀远县人民医院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怀远县中医院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五河县人民医院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五河县中医院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中国人民解放军第一二三医院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亳州市华佗中医院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亳州市中医院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亳州市人民医院（老院区）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亳州市人民医院（新院区）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利辛县人民医院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蒙城县第二人民医院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蒙城县第一人民医院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蒙城县中医院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涡阳县人民医院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涡阳县中医院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安徽省池州市人民医院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安徽省滁州市第一人民医院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阜南县人民医院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阜南县中医院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阜阳市第二人民医院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阜阳市第七人民医院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阜阳市第三人民医院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阜阳市第四人民医院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阜阳市第五人民医院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阜阳市妇女儿童医院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阜阳市人民医院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阜阳市中医医院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阜阳市肿瘤医院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界首市妇幼保健院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界首市人民医院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界首市中医院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太和县第五人民医院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太和县人民医院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太和县中医院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颍上县人民医院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安徽医科大学附属巢湖医院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安徽医科大学第一附属医院（东院区）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安徽省妇幼保健院（中心院区）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合肥市第四人民医院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安徽省胸科医院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安徽医科大学第二附属医院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安徽医科大学第四附属医院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安徽医科大学第一附属医院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安徽医科大学附属口腔医院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安徽中医药大学第二附属医院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安徽中医药大学第一附属医院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安徽中医药大学中西医结合医院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肥东县中医院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肥西县人民医院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肥西县中医院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合肥市滨湖医院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合肥市城建医院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合肥市第二人民医院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合肥市第三人民医院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合肥市第一人民医院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合肥市口腔医院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国药中铁精神病医院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江淮汽车集团医院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庐江县人民医院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庐江县中医院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中国科学技术大学医院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淮南市第一人民医院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安徽省黄山市人民医院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六安市人民医院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安徽省马鞍山市人民医院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安徽省铜陵市人民医院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安徽省宿州市立医院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安徽省泾县人民医院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福建省第二人民医院东二环分院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福建省福州儿童医院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福建省福州肺科医院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福建省级机关医院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福建省立医院（金山院区）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福建省永泰县医院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福建医科大学附属第一医院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福建医科大学附属福州市第一医院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福建医科大学附属口腔医院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福建医科大学附属协和医院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福建医科大学孟超肝胆医院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福建中医药大学附属康复医院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福清市第二医院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福清市第三医院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福清市妇幼保健院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福清市医院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福州经济技术开发区医院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福州市第八医院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福州市第六医院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福州市第七医院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福州市第三医院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福州市第四医院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福州市晋安区医院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连江县医院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连江县中医院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福建省罗源县医院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福建省罗源县中医院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闽侯县人民医院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闽侯县医院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闽清六都医院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闽清县妇幼保健院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闽清县医院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闽清县中医院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南京军区福州总医院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平潭综合试验区妇幼保健院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平潭综合实验区中医院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厦门大学附属福州第二医院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福建省永泰县中医院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福建省长乐市医院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福建省龙岩人民医院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福建省建瓯市立医院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福建省南平市第一医院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福建省南平市人民医院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福建省光泽县医院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福建省光泽县中医院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福建省南平市第二医院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南平市妇幼保健院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南平市延平区医院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福建省浦城县医院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邵武市第二医院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邵武市人民医院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顺昌县妇幼保健院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顺昌县中医院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松溪县中医院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武夷山市立医院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武夷山市中医院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政和县医院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福建省莆田市第一医院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安溪县第三医院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福建医科大学附属第二医院（鲤城院区）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福建医科大学附属第一医院（闽南院区）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泉州市第三医院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福建省泉州市第一医院（东街院区）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泉州市中医院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中国人民解放军第180医院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福建省三明市第一医院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厦门大学附属第一医院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厦门大学附属第一医院（思明院区）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厦门大学附属心血管病医院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厦门大学附属中山医院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厦门市第二医院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厦门市第三医院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厦门市第五医院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厦门市第一医院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厦门市妇幼保健院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厦门市海沧医院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厦门市同安区中医医院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厦门市仙岳医院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厦门市中医院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厦门大学附属第一医院（翔安院区）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中国人民解放军第一七四医院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福建省漳州市医院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甘肃省定西市人民医院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甘肃省嘉峪关市人民医院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甘肃省金昌市第一人民医院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甘肃省敦煌市医院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甘肃省康复中心医院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甘肃中医药大学附属医院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皋兰县人民医院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兰州大学第二医院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兰州大学第一医院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兰州市第二人民医院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兰州市第三人民医院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兰州市第一人民医院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兰州市中医医院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兰州市西固区中医院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永登县人民医院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榆中县第三人民医院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平凉市人民医院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天水市第一人民医院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甘肃省天祝县人民医院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潮州市中心医院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东莞市茶山医院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东莞市常平医院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东莞市第八人民医院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东莞市东城医院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东莞市东坑医院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东莞市高埗医院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东莞市莞城医院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东莞市横沥医院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东莞市洪梅医院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东莞市厚街医院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东莞市虎门医院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东莞市黄江医院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东莞市寮步医院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东莞市企石医院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东莞市桥头医院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东莞市清溪医院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东莞市人民医院（红楼院区）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东莞市沙田医院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东莞市石碣医院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东莞市塘厦医院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东莞市望牛墩医院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东莞市樟木头人民医院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东莞市中堂医院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东莞市中医院分院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暨南大学附属口腔医院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佛山市禅城区张槎医院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佛山市第二人民医院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佛山市第三人民医院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佛山市第五人民医院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佛山市妇幼保健院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佛山市高明区人民医院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佛山市口腔医院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佛山市南海区第七人民医院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佛山市南海区第三人民医院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佛山市南海区第五人民医院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佛山市南海区妇幼保健院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佛山市南海区人民医院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佛山市三水区人民医院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佛山市顺德区第一人民医院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佛山市顺德区妇幼保健院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佛山市顺德区均安医院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佛山市顺德区乐从医院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佛山市顺德区伦教医院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佛山市顺德区中医院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佛山市中医院（三水医院）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高明中医院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南方医科大学北滘医院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南海经济开发区人民医院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广东省人民医院南海医院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顺德勒流医院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佛山市中医院（禅城高新区医院）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从化区中医院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广东省第二中医院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广东省工人医院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广东省工伤康复医院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广东省广州市儿童医院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广东省结核病控制中心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广东省中医院二沙岛分院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广东药科大学附属第三医院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广东药学院附属第一医院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广州华侨医院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广州军区广州总医院附属一五七医院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广州军区总医院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广州开发区医院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广州市白云区第二人民医院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广州市白云区第三人民医院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广州市白云区第一人民医院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广州市白云区妇幼保健院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广州市白云区人民医院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广州市白云区中医医院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广州市第八人民医院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广州市第十二人民医院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广州市番禺区南村医院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广州市番禺区岐山医院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广州市番禺区中心医院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广州市番禺区中医院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广州市妇女儿童医疗中心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广州市海珠区第一人民医院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广州市海珠区妇幼保健院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广州市花都区第二人民医院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广州市花都区人民医院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广州市精神卫生中心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广州市荔湾区第二人民医院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广州市荔湾区第三人民医院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广州市荔湾区骨伤科医院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广州市荔湾区人民医院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广州市荔湾区中医医院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广州市萝岗区中医医院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广州市民政局精神病院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广州市南沙区第六人民医院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广州市皮肤病防治所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广州市天河区妇幼保健院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广州市天河区中医医院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广州市胸科医院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广州市越秀区儿童医院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广州市越秀区妇幼保健院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广州市增城区人民医院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广州新海医院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广州医科大学附属第二医院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广州医科大学附属第三医院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广州医科大学附属第四医院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广州医科大学附属第五医院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广州医科大学附属第一医院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广州医科大学附属肿瘤医院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广州医学院口腔医院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广州中医药大学第三附属医院（主院区）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广州中医药大学第一附属医院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暨南大学医学院附属黄埔中医院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民航广州医院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南方燕岭医院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南方医科大学第三附属医院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南方医科大学第五附属医院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南方医科大学南方医院（主院区）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南方医科大学中西医结合医院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南方医科大学肿瘤中心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南方医科大学珠江医院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武警广东省总队医院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增城市妇幼保健院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增城市新塘医院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中国人民解放军第458医院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中山大学附属第六医院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中山大学附属第三医院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中山大学附属第一医院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中山大学附属第一医院（东院区）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中山大学附属肿瘤医院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中山大学光华口腔医学院附属口腔医院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中山大学孙逸仙纪念医院（北院区）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中山大学孙逸仙纪念医院（南院区）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中山大学中山眼科中心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中山大学肿瘤防治中心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广东省连平县人民医院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博罗县人民医院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惠州市第二人民医院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惠东县第二人民医院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惠东县人民医院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惠东县中医院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惠阳区妇幼保健院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惠阳区人民医院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惠阳区中医医院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惠州市第二妇幼保健院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惠州市第六人民医院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惠州市第三人民医院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惠州市第一妇幼保健院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惠州市第一人民医院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惠州市口腔医院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惠州市中心人民医院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惠州市中心人民医院第一分院南坛分院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惠州市中医医院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龙门县人民医院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小金口医院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中国人民解放军第一七三医院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广东省江门市中心医院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揭阳市人民医院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茂名市电白区中医院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高州市第二人民医院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高州市妇幼保健院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高州市人民医院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高州市中医院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化州市人民医院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化州市中医院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茂名农垦医院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茂名市电白区人民医院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茂名市妇幼保健院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茂名市茂南区人民医院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茂名市人民医院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茂名市中医院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信宜市人民医院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广东省清远市人民医院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汕头市潮阳区人民医院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潮阳中医院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汕头市澄海区人民医院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金平区人民医院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汕头大学精神卫生中心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汕头大学医学院第二附属医院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汕头大学医学院第一附属医院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汕头大学医学院附属肿瘤医院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汕头市潮阳区大峰医院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汕头市第二人民医院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汕头市第三人民医院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汕头市第四人民医院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汕头市妇幼保健院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汕头市龙湖人民医院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汕头市皮肤医院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汕头市中心医院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汕头市中医医院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广东省陆丰市人民医院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粤北人民医院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宝安中医院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北京大学深圳医院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广州中医药大学深圳医院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龙岗区第三人民医院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南方医科大学深圳医院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深圳平乐骨伤科医院（罗湖院区）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深圳市宝安区福永人民医院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深圳市宝安区妇幼保健院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深圳市宝安区人民医院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深圳市宝安区沙井人民医院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深圳市宝安区石岩人民医院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深圳市宝安区松岗人民医院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深圳市宝安区中心医院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深圳市第四人民医院福田医院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深圳市福田区第二人民医院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深圳市福田区妇幼保健院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深圳市光明新区人民医院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深圳市光明新区中心医院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深圳市康宁医院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深圳市龙岗区第二人民医院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深圳市龙岗区妇幼保健院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深圳市龙岗区骨科医院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深圳市大鹏新区南澳人民医院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深圳市龙岗区第五人民医院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深圳市龙岗区人民医院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深圳市龙岗区中医院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深圳市龙岗中心医院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深圳市龙岗区耳鼻咽喉医院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深圳市龙华新区人民医院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深圳市罗湖区妇幼保健院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深圳市罗湖区人民医院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深圳市罗湖区中医院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深圳市南山区妇幼保健院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深圳市南山区人民医院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深圳市南山区西丽人民医院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深圳市坪山区妇幼保健院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深圳市坪山新区人民医院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深圳市人民医院龙华分院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深圳市蛇口人民医院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深圳市盐田区人民医院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武警广东边防总队医院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西丽人民医院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香港大学深圳医院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中国医学科学院肿瘤医院深圳医院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广东省阳春市人民医院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广东省云浮市人民医院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湛江市第二人民医院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广东医科大学附属医院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广东省肇庆市第二人民医院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广东省中山火炬开发区医院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黄圃人民医院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中山市博爱医院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中山市陈星海医院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中山市第三人民医院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中山市东凤人民医院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中山市东凤医院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中山市人民医院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中山市三乡医院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中山市小榄人民医院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中山市中医院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广东省人民医院珠海市金湾中心医院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广东省中医院珠海医院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香洲区第二人民医院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中山大学附属第五医院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珠海高新技术产业开发区人民医院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珠海市第二人民医院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珠海市第五人民医院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珠海市妇幼保健院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珠海市人民医院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珠海市香洲区人民医院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右江医学院附属医院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北海市第二人民医院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北海市第三人民医院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北海市妇幼保健院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北海市人民医院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北海市铁山港区人民医院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合浦县红十字会医院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合浦县人民医院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防城港市第一人民医院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广西壮族自治区桂平市人民医院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广西壮族自治区南溪山医院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桂林市第二人民医院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桂林市第三人民医院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桂林市妇女儿童医院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桂林市人民医院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桂林市中西医结合医院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桂林市中医医院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桂林医学院附属医院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全州县人民医院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河池市第一人民医院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广西壮族自治区贺州市人民医院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广西科技大学第二附属医院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广西科技大学第一附属医院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柳城县人民医院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柳城县中医医院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柳江县妇幼保健院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柳州市第二妇幼保健院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柳州市第四人民医院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柳州市妇幼保健院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柳州市工人医院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柳州市柳江区人民医院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柳州市柳铁中心医院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柳州市人民医院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柳州市潭中人民医院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柳州市职工疗养院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柳州市中西医结合医院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柳州市中医院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鹿寨县妇幼保健院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鹿寨县人民医院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鹿寨县中医院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融安县妇幼保健院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融安县人民医院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融水县人民医院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三江侗族自治县人民医院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三江侗族自治县中医医院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崇左市复退军人医院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广西医科大学第一附属医院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广西医科大学附属口腔医院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广西医科大学附属肿瘤医院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广西中医药大学第一附属医院（东葛院区）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广西中医药大学第一附属医院（仁爱分院）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广西中医药大学附属瑞康医院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广西壮族自治区江滨医院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广西壮族自治区民族医院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广西壮族自治区南宁巿第三人民医院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广西壮族自治区人民医院（桃源院区）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横县人民医院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隆安县人民医院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南宁市第二人民医院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南宁市第九人民医院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南宁市第六人民医院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南宁市第三人民医院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南宁市第四人民医院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南宁市第五人民医院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南宁市第一人民医院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南宁市红十字会医院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南宁市社会福利医院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南宁市邕宁区中医院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南宁市中医医院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南宁市中医院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武鸣县人民医院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广西壮族自治区灵山县人民医院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广西壮族自治区梧州市红十字会医院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玉林市第一人民医院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贵州省安顺市人民医院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毕节市第一人民医院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黔南布依族苗族自治州人民医院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贵航贵阳医院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贵阳市第二人民医院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贵阳市第三人民医院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贵阳市第四人民医院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贵阳市第一人民医院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贵阳市妇幼保健院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贵阳市花溪区人民医院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贵阳市口腔医院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贵阳医学院附属医院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贵阳中医学院第二附属医院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贵阳中医学院第一附属医院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贵州省骨科医院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贵州医科大学第二附属医院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贵州医科大学附属医院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南明区人民医院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清镇市第一人民医院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息烽县中医医院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贵州省黔东南苗族侗族自治州人民医院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贵州省六盘水市人民医院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铜仁市人民医院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黔西南州人民医院（黄草院区）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贵州省遵义医院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遵义医学院附属医院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海口市第三人民医院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海口市第四人民医院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海口市妇幼保健院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海口市人民医院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海口市秀英区妇幼保健站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海口市中医院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海南省安宁医院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海南省工人疗养院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海南省农垦总局医院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海南省人民医院（总院区）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海南省人民医院（分院区）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海南医学院第二附属医院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海南医学院第一附属医院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三亚市妇幼保健院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三亚市人民医院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三亚市中医院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安国市医院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安国市中医院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安新县医院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安新县中医院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保定第七医院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保定市传染病医院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保定市第二医院东风西路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保定市第二中心医院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保定市第三医院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保定市第三中心医院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保定市第五医院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保定市第一医院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保定市第一中心医院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保定市第一中医院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保定市骨科医院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保定市中医院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博野县医院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定兴县医院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定州市人民医院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阜平县中医院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高碑店市医院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高阳县医院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高阳县中医院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河北大学附属医院（主院区）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河北大学附属医院（北院区）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河北省荣军医院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河北唐县人民医院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涞水县妇幼保健院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涞水县医院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涞水县中医院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涞源县医院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蠡县中医医院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清苑区人民医院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曲阳第五医院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曲阳县人民医院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曲阳县中医院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容城县妇幼保健院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容城县人民医院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容城县中医院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顺平县医院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唐县中医医院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望都县医院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望都县中医院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河北省易县人民医院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易县中医院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涿州市医院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涿州市中医医院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泊头市第二医院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泊头市中医医院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沧县医院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沧州市传染病医院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沧州市妇幼保健院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沧州市人民医院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沧州市运河区医院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沧州市中心医院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沧州市中医院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沧州眼科医院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东光县医院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东光县中医院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海兴县医院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河北省沧州中西医结合医院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黄骅市妇幼保健院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黄骅市人民医院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黄骅市中医医院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南皮县人民医院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南皮县中医院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任丘市人民医院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任丘市中医院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肃宁县人民医院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献县人民医院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献县中医院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盐山县人民医院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承德市第六医院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承德市口腔医院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承德市中心医院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承德市中医院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承德县医院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承德县中医院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承德医学院附属医院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中国人民解放军联勤保障部队第九八一医院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宽城满族自治县医院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隆化县医院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隆化县中医院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滦平县妇幼保健院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滦平县医院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滦平县中医院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平泉市第二医院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平泉县医院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平泉中医院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承德市荣复军人医院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双滦区妇幼保健院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围场满族蒙古族自治县医院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兴隆县人民医院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兴隆县中医医院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成安县中医院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磁县妇幼保健院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河北省磁县人民医院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丛台区中医院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大名县人民医院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大名县中医院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邯郸市第二医院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馆陶县人民医院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广平县中医院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邯郸市传染病医院第六医院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邯郸市第五医院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邯郸市第一医院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邯郸市妇幼保健院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邯郸市口腔医院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邯郸市人民医院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邯郸市商业职工医院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邯郸市中心医院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邯郸市中医院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邯郸县医院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河北工程大学附属医院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鸡泽县医院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鸡泽县中医院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临漳县医院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涉县医院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涉县中医院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魏县人民医院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魏县中医院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武安市第一人民医院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武安市妇幼保健院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武安市中医院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永年区中医院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邯郸市总工会职工医院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安平人民医院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阜城县人民医院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故城县医院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故城县中医医院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哈励逊国际和平医院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衡水市第二人民医院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衡水市第三人民医院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衡水市第四人民医院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衡水市第五人民医院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衡水市冀州区医院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衡水市结核病防治所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衡水市精神病医院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衡水市中医医院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衡水卫生学校附属医院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冀州市中医院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景县人民医院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饶阳县人民医院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饶阳中医院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深州市医院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桃城区妇幼保健院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武强县人民医院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枣强县人民医院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霸州市第二医院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霸州市第三医院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霸州市中医院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大厂回族自治县中医医院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大厂县人民医院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大城县医院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大城县中医院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廊坊市广阳区人民医院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华北石油廊坊矿区第一医院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廊坊市第三人民医院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廊坊市第四人民医院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廊坊市妇幼保健中心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廊坊市广阳区妇幼保健院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廊坊市人民医院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廊坊市中医医院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文安县医院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文安县中医院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香河县人民医院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香河县中医医院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燕郊人民医院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永清县人民医院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永清县中医医院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昌黎县妇幼保健院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昌黎县人民医院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抚宁区人民医院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河北省卢龙县医院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卢龙县中医院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秦皇岛军工医院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秦皇岛市北戴河医院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秦皇岛市第二医院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秦皇岛市第三医院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秦皇岛市第四医院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秦皇岛市第一医院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秦皇岛市抚宁区中医医院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秦皇岛市妇幼保健院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秦皇岛市工人医院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秦皇岛市骨科医院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秦皇岛市海港医院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秦皇岛市中医医院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青龙满族自治县人民医院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青龙中医院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中铁山桥集团医院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行唐县中医院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河北省老年病医院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河北省优抚医院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河北医科大学第二医院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河北医科大学第三医院（中山院区）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河北医科大学第四医院（主院区）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河北医科大学第一医院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晋州市人民医院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晋州市中医院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灵寿县医院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灵寿县中西医结合医院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石家庄市第八医院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石家庄市第二医院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石家庄市第三医院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石家庄市第四医院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石家庄市第五医院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石家庄市第一医院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石家庄市栾城区中医院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石家庄市中医院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辛集市第二医院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辛集市第一医院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辛集市中医院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新乐市第二医院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新乐市医院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新乐市中医医院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赞皇县医院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赵县人民医院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赵县中医院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正定县妇幼保健院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正定县人民医院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正定县中医院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唐山市丰南区医院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唐山市丰润区中医医院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华北理工大学附属医院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开滦总医院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滦南县医院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滦南县中医院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迁安妇幼保健院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迁安市人民医院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迁安市中医医院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迁西县人民医院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唐山市工人医院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唐山市第八医院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唐山市第二医院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唐山市第三医院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唐山市丰润区人民医院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唐山市妇幼保健医院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唐山市妇幼保健院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唐山市精神卫生中心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唐山市开平医院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唐山市人民医院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唐山市协和医院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唐山市眼科医院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唐山市中医医院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玉田县第二医院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玉田县医院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玉田县中医医院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玉田县中医院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中国建筑第二工程局职工医院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遵化市第二医院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遵化市人民医院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柏乡县人民医院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广宗县医院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河北省内丘县人民医院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河北省宁晋县医院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河北省任县医院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河北省新河县人民医院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河北省眼科医院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巨鹿县医院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临西县人民医院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隆尧县医院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南宫市妇幼保健院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南宫市人民医院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南宫市中医院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南和县人民医院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内丘县中医院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宁晋县中西医结合医院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平乡县人民医院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清河县人民医院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清河县中心医院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清河县中医院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沙河市精神病医院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沙河市人民医院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沙河市中医院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威县人民医院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邢台市第二医院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邢台市第三医院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邢台市第五医院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邢台市妇幼保健院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邢台市人民医院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邢台市中医院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邢台县医院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邢台县中心医院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邢台医学高等专科学校第二附属医院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邢台医学高等专科学校第一附属医院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张家口市建国医院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崇礼中医院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沽源县人民医院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河北北方学院附属第二医院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河北北方学院附属第一医院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怀来县医院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怀来县中医医院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沙岭子医院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万全区中医院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蔚县人民医院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蔚县中医院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阳原县人民医院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张北县医院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张家口市传染病医院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张家口市第六医院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张家口市第五医院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张家口市第一医院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张家口市妇幼保健院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张家口市眼科医院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涿鹿县医院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涿鹿县中医院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安阳市灯塔医院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安阳市第二人民医院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安阳市第三人民医院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安阳市第五人民医院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安阳市妇幼保健院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安阳市中医院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安阳市肿瘤医院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安阳县中医院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安阳市第六人民医院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河南省滑县中医院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滑县人民医院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林州市第二人民医院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林州市人民医院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林州市中医院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林州市肿瘤医院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内黄县第二人民医院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内黄县人民医院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内黄县中医院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濮阳市安阳地区医院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汤阴县中西医结合医院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鹤壁煤业集团总医院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鹤壁市妇幼保健院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鹤壁市人民医院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鹤壁市中医院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浚县人民医院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浚县社会福利医院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浚县中医院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淇县人民医院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博爱县人民医院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济源市第三人民医院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济源市人民医院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济源市中医院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焦作煤业集团中央医院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焦作市第二人民医院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焦作市第六人民医院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焦作市第三人民医院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焦作市第四人民医院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焦作市第五人民医院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焦作市妇幼保健院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焦作市人民医院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焦作卫生医药学校附属医院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焦作市五官医院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焦作市中医院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焦作市马村区人民医院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孟州市第二人民医院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孟州市人民医院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孟州市中医院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沁阳市第二人民医院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沁阳市人民医院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温县第二人民医院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温县人民医院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温县中医院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武陟人民医院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修武县人民医院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河南大学第一附属医院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河南大学淮河医院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开封市第二人民医院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开封市第二中医院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开封市第六人民医院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开封市第一人民医院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开封市儿童医院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开封市妇产医院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开封市妇幼保健院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开封市口腔医院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开封市陇海医院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开封市中心医院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开封市中医院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开封市肿瘤医院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开封县中医院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兰考县第三人民医院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兰考县人民医院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兰考县中心医院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兰考县中医院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杞县人民医院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通许县人民医院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尉氏县第二人民医院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尉氏县第三人民医院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尉氏县妇幼保健院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尉氏县人民医院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尉氏县中医院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河南科技大学第二附属医院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河南科技大学第一附属医院（景华院区）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河南省洛阳荣康医院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河南省洛阳正骨医院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栾川县中医院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洛宁县妇幼保健院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洛宁县人民医院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洛宁县中医院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洛阳市第七人民医院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洛阳市第三人民医院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洛阳市第五人民医院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洛阳市第一人民医院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洛阳市妇女儿童医疗保健中心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洛阳市吉利区人民医院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洛阳市精神卫生中心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洛阳市中心医院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洛阳新区人民医院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孟津县人民医院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汝阳县人民医院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新安县中医院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偃师市人民医院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偃师市中医院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宜阳县人民医院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漯河市第一人民医院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南阳市第二人民医院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南阳第一人民医院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郏县人民医院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郏县中医院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平顶山市第二人民医院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平顶山市第一人民医院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平顶山市妇幼保健院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平煤神马医疗集团总医院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汝州市人民医院（南院区）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汝州市人民医院（北院区）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汝州市第一人民医院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汝州市中医院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舞钢市人民医院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河南省濮阳县人民医院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河南省黄河三门峡医院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民权县人民医院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民权县中医院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宁陵县人民医院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商丘市第一人民医院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商丘市第二人民医院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商丘市第三医院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商丘市第四人民医院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商丘市妇幼保健院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商丘市中医院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睢县中医院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夏邑人民医院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夏邑县第二人民医院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永城市第五人民医院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永城市人民医院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永城市中心医院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虞城县人民医院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柘城县人民医院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柘城县中西医结合医院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封丘县人民医院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封丘县中医院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河南省荣军医院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辉县市人民医院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辉县市中医院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获嘉县人民医院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卫辉市中医院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新乡市第四人民医院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新乡市第一人民医院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新乡市妇幼保健院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新乡市中心医院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新乡市中医院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新乡县人民医院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新乡新华医院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新乡医学院第三附属医院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新乡医学院第一附属医院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延津县人民医院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延津县中医院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原阳县人民医院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中国人民解放军第三七一医院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固始县人民医院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固始县中医医院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光山县人民医院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淮滨县人民医院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潢川人民医院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罗山县人民医院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罗山县中医院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商城县人民医院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息县人民医院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信阳市第二中医院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信阳市第三人民医院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信阳市第四人民医院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信阳市第一人民医院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信阳市中心医院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信阳市中医院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信阳市肿瘤医院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信阳职业技术学院附属医院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魏都区公疗医院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襄城县人民医院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襄城县中医院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许昌市按摩医院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许昌市第二人民医院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许昌市妇幼保健院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许昌市建安医院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许昌市人民医院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许昌市中心医院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许昌市中医院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鄢陵县人民医院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鄢陵县中心医院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鄢陵县中医院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禹州市人民医院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禹州市中心医院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禹州市中医院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长葛市妇幼保健院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长葛市人民医院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长葛市中医院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登封市人民医院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河南大学附属郑州第一人民医院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河南省胸科医院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河南省直第三人民医院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河南省职工医院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河南省中医院（主院区）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河南中医药大学第三附属医院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河南中医学院第一附属医院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黄河中心医院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郑州市惠济区人民医院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解放军第一五三中心医院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武警河南总队医院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新密市第一人民医院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新郑市第二人民医院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新郑市人民医院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新郑市中医院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荥阳市人民医院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荥阳市中医院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郑州大学第二附属医院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郑州大学第四附属医院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郑州大学第五附属医院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郑州大学第一附属医院（河医院区）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郑州大学附属郑州中心医院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郑州市第八人民医院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郑州市第二中医院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郑州市第九人民医院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郑州市第七人民医院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郑州儿童医院（东院区）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郑州市骨科医院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郑州市管城中医院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郑州市颈肩腰腿痛医院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郑州大学第三附属医院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郑州颐和医院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中牟县人民医院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中牟县中医院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河南省周口市中心医院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泌阳县人民医院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平舆县人民医院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确山县人民医院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汝南县中医院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上蔡县人民医院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上蔡县中医院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西平县中医院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正阳县人民医院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正阳县中医院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驻马店市第二中医院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驻马店市第一人民医院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驻马店市精神病医院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驻马店市中心医院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驻马店市中医院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黑龙江省大庆油田总医院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黑龙江省哈尔滨市第一医院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巴彦县人民医院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哈尔滨平房区人民医院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哈尔滨市道外区太平人民医院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哈尔滨市第八医院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哈尔滨市第二医院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哈尔滨市第四医院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哈尔滨市第五医院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哈尔滨市第一医院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哈尔滨市第一专科医院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哈尔滨市儿童医院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哈尔滨市骨伤科医院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哈尔滨市红十字中心医院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哈尔滨市呼兰区中医医院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哈尔滨市南岗区妇产医院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哈尔滨市胸科医院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哈尔滨市中医医院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哈尔滨医科大学附属第二医院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哈尔滨医科大学附属第四医院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哈尔滨医科大学附属第一医院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哈尔滨医科大学附属肿瘤医院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黑龙江省农垦总局总医院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黑龙江省森工总医院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黑龙江省眼科医院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黑龙江中医药大学附属第一医院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哈尔滨市呼兰区第一人民医院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木兰县人民医院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木兰县中医医院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南岗区人民医院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尚志市人民医院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双城市人民医院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通河县中医院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五常市人民医院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延寿县人民医院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依兰县人民医院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中国人民解放军第二一一医院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黑龙江省佳木斯市桦川县人民医院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鸡西矿业集团总医院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黑龙江省佳木斯大学附属第一医院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黑龙江省牡丹江市第一人民医院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黑龙江省七台河市医院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拜泉县人民医院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富裕县人民医院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甘南县人民医院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克东县人民医院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克东县中医院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克山县第一人民医院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克山县人民医院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克山县中医院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龙江县人民医院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龙江县中医医院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讷河市人民医院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讷河市中医院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碾子山区人民医院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齐齐哈尔市第二医院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齐齐哈尔市第一医院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齐齐哈尔市结核病防治院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齐齐哈尔市第三医院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齐齐哈尔医学院附属第二医院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齐齐哈尔医学院附属第一医院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齐市第七医院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泰来县人民医院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泰来县中医医院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依安县人民医院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依安县中医院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黑龙江省双鸭山煤炭工业总医院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鄂州市中心医院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湖北省恩施自治州中心医院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湖北省黄石市中心医院（中心院区）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湖北省荆州市第一人民医院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荆州市中心医院（城中院区）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湖北省潜江市中心医院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房县妇幼保健院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房县人民医院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茅箭区人民医院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十堰市妇幼保健院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十堰市人民医院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十堰市太和医院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十堰市铁路医院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十堰市西苑医院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十堰市郧阳区中医医院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十堰市中西医结合医院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武当山旅游经济特区医院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郧西县人民医院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竹山县人民医院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竹溪县人民医院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竹溪县中医院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湖北省天门市第一人民医院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中国人民解放军第一六一医院（总院区）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湖北省荣军医院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湖北省中医院（花园山院区）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华润武钢总医院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华中科技大学同济医学院附属梨园医院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华中科技大学同济医学院附属同济医院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华中科技大学同济医学院附属协和医院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武汉科技大学附属天佑医院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武汉大学口腔医院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武汉大学人民医院（主院区）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武汉大学人民医院东院（东院区）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武汉大学中南医院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武汉钢铁公司第二职工医院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武汉六七二医院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武汉市第八医院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武汉市第九医院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武汉市第七医院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武汉市第五医院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武汉市东湖医院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武汉市东西湖区人民医院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武汉市妇女儿童医疗保健中心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武汉市汉口医院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武汉市汉南区人民医院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武汉市黄陂区人民医院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武汉市黄陂区中医医院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武汉市江岸区人民医院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武汉市结核病防治所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武汉市精神卫生中心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武汉市普爱医院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武汉市武昌医院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武汉市武东医院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武汉市新洲区人民医院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武汉市新洲区中医院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武汉市优抚医院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武汉市中心医院（南京路院区）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长江航运总医院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湖北省咸宁市中心医院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保康县人民医院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保康县中医院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谷城县第二人民医院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谷城县中医医院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老河口市第二医院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老河口市妇幼保健院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老河口中医院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南漳县第二人民医院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南漳县中医医院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襄阳第三人民医院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襄阳第四人民医院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襄阳第五人民医院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襄阳市第一人民医院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襄阳市东风人民医院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襄阳市妇幼保健院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襄阳市中心医院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襄阳市中医医院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襄阳市肿瘤医院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襄阳市襄州区人民医院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宜城市妇幼保健院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宜城市人民医院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宜城市中医医院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枣阳市第一人民医院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枣阳市妇幼保健院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中国人民解放军第四七七医院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湖北省孝感市中心医院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湖北省宜昌市中心人民医院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桃源县人民医院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郴州市第一人民医院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湖南省衡阳市中心医院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怀化市第一人民医院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娄底市中心医院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湖南省邵阳市中心医院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湖南省湘潭市韶山医院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湖南省永顺县人民医院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湖南省岳阳市第一人民医院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岳阳市第一人民医院（总院区）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湖南省张家界市人民医院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湖南航天医院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湖南省地矿医院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湖南省结核病防治所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湖南省马王堆医院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湖南省脑科医院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湖南省荣军医院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湖南省职业病防治院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湖南省中医药研究院附属医院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湖南中医药大学第一附属医院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湖湘中医肿瘤医院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浏阳市妇幼保健院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浏阳市人民医院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浏阳市中医医院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宁乡县人民医院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长沙市第三医院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长沙市第四医院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长沙市第一医院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长沙市妇幼保健院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长沙市口腔医院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长沙市中心医院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长沙市中医医院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中南大学湘雅二医院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中南大学湘雅三医院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中南大学湘雅医院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株洲市中心医院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吉林省白城市中心医院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白山市中心医院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北华大学附属医院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吉林市儿童医院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吉林市妇产医院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吉林市结核病防治研究所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吉林市中西医结合肛肠医院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吉林医药学院附属医院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蛟河市人民医院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蛟河市中医院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磐石市医院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永吉县第二人民医院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吉林省辽源市中心医院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四平市第一人民医院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吉林省松原市中心医院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吉林省通化市人民医院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延边大学医学院附属医院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德惠市人民医院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吉林大学白求恩第一医院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吉林大学第二医院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吉林大学第一医院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吉林大学口腔医院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吉林大学中日联谊医院（中心院区）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吉林省电力医院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吉林省肝胆病医院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吉林省前卫医院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吉林省职业病防治院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吉林省中医药科学院第一临床医院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吉林省肿瘤医院（湖光院区）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九台市人民医院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农安县人民医院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一汽总医院吉林大学第四医院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长春市第二医院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长春市儿童医院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长春市妇产医院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长春市口腔医院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长春市绿园区人民医院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长春市人民医院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长春市双阳区医院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长春市双阳区中医院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长春市中心医院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长春市中医院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长春医科医院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长春中医药大学附属医院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江苏省常州市第一人民医院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淮安市淮安医院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江苏省淮阴市第一人民医院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东海县人民医院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东海县中医院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赣榆区人民医院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灌南县人民医院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灌云县人民医院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灌云县中医院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连云港市第二人民医院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连云港市第三人民医院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连云港市第四人民医院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连云港市第一人民医院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连云港市东方医院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连云港市妇幼保健院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新浦区人民医院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江宁区第二人民医院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江苏省第二中医院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江苏省人民医院（主院区）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江苏省省级机关医院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南京大学医学院附属鼓楼医院（主院区）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南京大学医学院附属鼓楼医院（北院区）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南京江北人民医院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南京军区南京总医院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南京脑科医院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南京市第二医院（钟阜院区）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南京市儿童医院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南京市江宁区中医院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南京市江宁医院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南京市口腔医院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南京市六合区人民医院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南京市六合区中医院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南京市六合人民医院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南京市浦口区中心医院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南京市浦口区中医院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南京市浦口医院（浦园院区）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南京市栖霞区妇幼保健院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南京市青龙山精神病院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南京市职业病防治院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南京市中西医结合医院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南京医科大学第二附属医院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南京医科大学第二附属医院东院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南京医科大学附属眼科医院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秦淮区中医医院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中国人民解放军第四五四医院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中国医学科学院皮肤病医院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海门市第二人民医院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海门市第四人民医院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海门市人民医院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南通市海门区中医院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江苏省海安县人民医院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南通大学附属医院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南通市第二人民医院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南通市第三人民医院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南通市第一人民医院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南通市妇幼保健院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南通市通州区人民医院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南通市中西医结合医院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南通市肿瘤医院北院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南通市肿瘤医院南院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启东肝癌防治研究所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启东市第二人民医院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启东市人民医院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如东县第三人民医院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如东县人民医院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如东县中医院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如皋市人民医院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如皋市中医院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常熟市第二人民医院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常熟市第一人民医院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常熟市中医院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江苏盛泽医院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昆山市第六人民医院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昆山市第四人民医院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昆山市第一人民医院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苏州大学附属第二医院（三香院区）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苏州大学附属第一医院（十梓街院区）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苏州市第五人民医院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苏州市高新区人民医院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苏州市立医院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苏州市木渎人民医院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苏州市吴中人民医院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苏州市相城区第三人民医院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苏州市相城人民医院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苏州市眼视光医院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苏州市中医医院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太仓市第一人民医院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太仓市中医医院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张家港市第二人民医院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张家港市第三人民医院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张家港市第一人民医院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张家港市锦丰镇人民医院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张家港市乐余人民医院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中国人民解放军第100医院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江苏省泰州市人民医院（南院区）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江阴市人民医院（城中院区）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无锡市滨湖区中医院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无锡市第八人民医院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无锡市第二人民医院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无锡市第九人民医院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无锡市第六人民医院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无锡市第三人民医院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无锡市第四人民医院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无锡市第五人民医院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无锡市妇幼保健院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无锡市锡山区锡北人民医院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无锡市锡山人民医院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无锡市中医医院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宜兴市第二人民医院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宜兴市第四人民医院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宜兴市人民医院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沛县人民医院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沛县中医院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邳州市人民医院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睢宁县中医院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新沂市人民医院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新沂市中医医院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徐州矿务集团总医院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徐州市传染病医院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徐州市第三人民医院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徐州市第一人民医院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徐州市儿童医院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徐州市妇幼保健院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徐州市贾汪区人民医院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徐州市中心医院（总院区）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徐州市中医院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徐州医科大学附属医院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徐州医学院附属第三医院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中国人民解放军第九七医院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盐城市第一人民医院（五官科院区）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江苏省苏北人民医院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扬州市第一人民医院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镇江市第一人民医院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抚州市第一医院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安远县人民医院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崇义县中医医院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赣南医学院第三附属医院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赣南医学院第一附属医院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赣县人民医院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赣州市第三人民医院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赣州市立医院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赣州市南康区第一人民医院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赣州市人民医院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赣州市中医院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赣州市肿瘤医院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江西省龙南县人民医院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江西省上犹县人民医院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宁都县人民医院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宁都县中医院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石城县人民医院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信丰县妇幼保健院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信丰县人民医院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兴国县人民医院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寻乌县人民医院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于都县妇幼保健院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于都县人民医院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于都县中医院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吉安市中心人民医院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德安县人民医院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德安县中医院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都昌县妇幼保健院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都昌县人民医院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都昌县中医院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都昌县中医院蔡岭分院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共青城市人民医院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湖口县妇幼保健院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湖口县人民医院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湖口县中医院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九江市第三人民医院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九江市第五人民医院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九江市第一人民医院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九江市妇幼保健院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九江市石化医院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九江市中医医院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九江县人民医院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九江县中医医院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九江学院附属医院东院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九江学院附属医院西院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彭泽县妇幼保健院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彭泽县人民医院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彭泽县中医院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瑞昌市妇幼保健院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瑞昌市人民医院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瑞昌市中医院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武宁县妇幼保健院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武宁县人民医院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武宁县中医院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星子县人民医院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星子县中医院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修水县第二人民医院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修水县第一人民医院北院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修水县中医医院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浔阳区人民医院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永修县人民医院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安义县中医院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江西省精神病院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江西省皮肤病专科医院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江西省人民医院（红谷滩院区）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江西省胸科医院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江西省长征医院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江西医学院第二附属医院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进贤县人民医院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南昌大学第二附属医院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南昌大学第四附属医院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南昌大学第四附属医院向塘分院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南昌大学第一附属医院（东湖院区）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南昌大学附属口腔医院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南昌大学附属眼科医院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南昌华云中医院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南昌市第九医院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南昌市第六医院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南昌市第三医院（抚河院区）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南昌市第一医院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南昌市第一医院红谷滩分院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南昌市洪都中医院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南昌县人民医院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南昌县中医院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西湖区疾病预防控制中心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新建区人民医院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新建县中医院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中国人民解放军第九四医院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萍乡市人民医院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上饶市人民医院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分宜县人民医院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分宜县中医院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新余第二医院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新余市妇幼保健院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新余市人民医院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新余市中医院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宜春市人民医院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鹰潭市人民医院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鞍山市中心医院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本溪市中心医院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朝阳市中心医院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大连大学附属新华医院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大连大学附属中山医院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大连大学医学院老年病医院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大连市第六人民医院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大连市第七人民医院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大连市第四人民医院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大连市第五人民医院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大连市儿童医院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大连市妇幼保健院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大连市甘井子区人民医院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大连市结核病医院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大连市金州区第一人民医院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大连市旅顺口区人民医院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大连市皮肤病医院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大连市友谊医院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大连市中医医院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大连医科大学附属第二医院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大连医科大学附属第三医院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大连医科大学附属第一医院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金州区第二人民医院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金州区结核病防治所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旅顺口区妇幼保健院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旅顺口区中医院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沙河口区医院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中国医科大学附属盛京医院大连医院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中山区人民医院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庄河第三人民医院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庄河市第二人民医院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庄河市中心医院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辽宁省丹东市中心医院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抚顺矿务局总医院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阜新矿业集团总医院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葫芦岛市中心医院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锦州医科大学第一附属医院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康平县人民医院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辽宁省金秋医院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辽宁中医药大学附属第二医院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辽宁中医药大学附属医院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沈阳军区总医院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沈阳七三九医院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沈阳市第九人民医院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沈阳市第七人民医院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沈阳市第四人民医院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沈阳市第一人民医院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沈阳市儿童医院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沈阳市骨科医院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沈阳市红十字会医院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沈阳市沈河区中医院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沈阳市铁西区妇婴医院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沈阳市铁西区中心医院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沈阳市胸科医院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沈阳医学院附属中心医院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苏家屯区中心医院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中国医科大学附属第一医院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中国医科大学附属口腔医院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中国医科大学附属盛京医院（南湖院区）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内蒙古自治区包头市中心医院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内蒙古自治区赤峰市医院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内蒙古自治区鄂尔多斯市中心医院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内蒙古医学院附属医院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内蒙古自治区呼伦贝尔盟医院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内蒙古自治区林业总医院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内蒙古自治区乌海市人民医院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内蒙古包钢集团职工医院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内蒙古民族大学附属医院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内蒙古医科大学第二附属医院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锡林郭勒盟中心医院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内蒙古自治区兴安盟人民医院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宁夏回族自治区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宁夏回族自治区固原市人民医院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宁夏回族自治区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宁夏回族自治区石嘴山市第一人民医院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宁夏回族自治区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宁夏回族自治区吴忠市人民医院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宁夏回族自治区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贺兰县人民医院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宁夏回族自治区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灵武市人民医院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宁夏回族自治区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灵武市中医医院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宁夏回族自治区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宁夏回族自治区人民医院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宁夏回族自治区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宁夏回族自治区中医医院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宁夏回族自治区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宁夏武警总队医院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宁夏回族自治区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宁夏医科大学总医院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宁夏回族自治区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银川市第二人民医院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宁夏回族自治区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银川市第一人民医院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宁夏回族自治区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银川市妇幼保健院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宁夏回族自治区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银川市中医院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宁夏回族自治区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永宁县人民医院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宁夏回族自治区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自治区第三人民医院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青海省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青海省海北藏族自治州第一人民医院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青海省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青海省海南藏族自治州人民医院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青海省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格尔木市人民医院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青海省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青海大学附属医院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青海省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青海省人民医院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滨州医学院附属医院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德州市第二人民医院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德州市立医院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德州市联合医院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德州市中医院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乐陵市人民医院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临邑县人民医院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临邑县中医院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宁津县人民医院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平原县第一人民医院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齐河县人民医院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庆云县人民医院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1999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武城县中医院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夏津县人民医院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夏津县中医院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禹城市人民医院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胜利油田中心医院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菏泽市立医院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济南市第八人民医院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济南市第二人民医院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济南市第三人民医院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济南市第四人民医院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济南市第五人民医院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济南市第一人民医院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济南市儿童医院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济南市妇幼保健院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济南市槐荫人民医院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济南市精神卫生中心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济南市历城区人民医院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济南市市中区人民医院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济南市天桥人民医院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济南市长清区人民医院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济南市中心医院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历下区第三人民医院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平阴县人民医院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山东大学第二医院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山东大学齐鲁医院（济南中心）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山东黄河河务局山东黄河医院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山东省交通医院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山东省精神卫生中心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山东省警官总医院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山东省立医院西院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山东省皮肤病医院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山东省千佛山医院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山东省荣军总医院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山东省胸科医院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山东省眼科医院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山东省医学科学院附属医院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山东省医学影像学研究所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山东中医药大学附属医院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商河县人民医院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武警山东省总队医院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章丘市人民医院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济宁市第二人民医院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济宁市第四人民医院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济宁市兖州区中医医院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济宁市中西医结合医院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济宁市中医院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济宁市肿瘤医院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济宁医学院附属医院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嘉祥县人民医院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金乡县人民医院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梁山县人民医院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梁山县中医院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曲阜市人民医院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泗水县中医院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微山县人民医院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汶上县人民医院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鱼台县人民医院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邹城市人民医院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莱芜人民医院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聊城市人民医院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临沂市河东区人民医院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临沂市沂水中心医院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黄岛区人民医院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即墨市人民医院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胶州市人民医院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莱西市人民医院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平度市第三人民医院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平度市人民医院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青岛大学附属医院（市南院区）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青岛大学医学院附属心血管病医院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青岛市城阳区第二人民医院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青岛市城阳区人民医院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青岛市第八人民医院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青岛市第九人民医院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青岛市第三人民医院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青岛市市北区人民医院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青岛市市立医院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青岛市市南区人民医院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青岛市中心医院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青岛市中医医院（本部院区）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青岛眼科医院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中国人民解放军第401医院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莒县人民医院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日照市第二人民医院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日照市人民医院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日照市中医医院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山东省五莲县人民医院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五莲县人民医院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山东省泰安市中心医院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荣成市人民医院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荣成市石岛人民医院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荣成市中医院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乳山市人民医院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乳山市中医院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威海市立医院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威海市立医院西院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威海市中心医院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威海市中医院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威海卫人民医院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中国人民解放军第四零四医院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安丘市人民医院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安丘市市立医院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昌乐县人民医院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昌乐县中医院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昌邑市人民医院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高密市人民医院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高密市中医院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临朐县人民医院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临朐县中医院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青州市妇幼保健院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山东省青州荣军医院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寿光市人民医院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潍坊市第二人民医院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潍坊市第六人民医院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潍坊市坊子区人民医院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潍坊市妇幼保健院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潍坊市寒亭区人民医院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潍坊市直机关医院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潍坊市中医院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潍坊医学院附属医院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诸城市妇幼保健院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诸城市人民医院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诸城中医医院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海阳市中医医院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莱阳市第二人民医院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莱阳市中医医院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莱州市第二人民医院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莱州市第三人民医院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莱州市妇幼保健院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莱州市人民医院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莱州市中医医院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龙口市第二人民医院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龙口市人民医院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蓬莱市人民医院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栖霞市人民医院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烟台市北海医院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烟台市传染病医院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烟台市福山区人民医院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烟台市口腔医院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烟台市莱阳中心医院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烟台市烟台山医院（南院区）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烟台市中医医院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山东省烟台毓璜顶医院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长岛县人民医院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招远市人民医院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招远市中医医院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枣庄市立医院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高青县人民医院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高青县中医医院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桓台县妇幼保健院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桓台县人民医院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桓台县中医院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临淄区妇幼保健院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临淄区人民医院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沂源县人民医院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张店区人民医院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张店区中医院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周村区妇幼保健院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周村人民医院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淄博市博山区医院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淄博市第七人民医院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淄博市第四人民医院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淄博市第一医院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淄博市第一医院分院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淄博市妇幼保健院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淄博市精神卫生中心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淄博市康复医院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淄博市职业病防治院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淄博市中西医结合医院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淄博市中心医院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淄博市中医医院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淄川区中医院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淄川医院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大同市第三人民医院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晋城市人民医院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晋中市第一人民医院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安泽县人民医院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安泽县中医院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大宁县人民医院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汾西县人民医院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浮山县人民医院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古县人民医院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洪洞县人民医院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洪洞县中医院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侯马市人民医院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霍州市人民医院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临汾市第二人民医院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临汾市第三人民医院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临汾市第四人民医院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临汾市妇幼保健院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临汾市骨科医院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临汾市人民医院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临汾市荣军康复医院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临汾市尧都区第二人民医院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临汾市中医医院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临汾市肿瘤医院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临汾尧都第一人民医院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蒲县人民医院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曲沃县人民医院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乡宁县人民医院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襄汾县人民医院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襄汾中医院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尧都区骨伤科医院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翼城县人民医院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永和县人民医院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吕梁市人民医院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朔州中心医院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古交市中心医院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清徐县人民医院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清徐县中医院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山西大医院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山西煤炭中心医院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山西省脑瘫康复医院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山西省荣军医院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山西省心血管病医院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山西省肿瘤医院（北院区）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山西医科大学第二医院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山西医科大学第一医院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山西中医学院第三中医院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山西中医学院附属医院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太原市第八人民医院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太原市第二人民医院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太原市第九人民医院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太原市第七人民医院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太原市第三人民医院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太原市第四人民医院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太原市妇幼保健院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太原市人民医院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太原市万柏林区中心医院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太原市迎泽区中心医院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太原市中医医院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太原中西医结合医院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杏花岭区中心医院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中铁三局集团中心医院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中铁十二局集团有限公司中心医院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中铁十七局集团有限公司中心医院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山西省忻州市人民医院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山西省阳泉市第一人民医院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541总医院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河津市人民医院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河津市中医医院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稷山县人民医院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绛县人民医院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临猗县第二人民医院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临猗县人民医院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平陆县人民医院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芮城中医院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山西省芮城县人民医院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万荣县人民医院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闻喜县人民医院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夏县妇幼保健院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夏县人民医院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夏县中医院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新绛县人民医院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盐湖区人民医院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永济市人民医院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垣曲县人民医院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运城市第二医院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运城市儿童医院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运城市头针研究所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运城市中心医院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运城市中医医院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山西中条山集团总医院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长治医学院附属和平医院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安康市中心医院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陕西省宝鸡市人民医院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大同市第二人民医院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大同市第四人民医院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大同市灵丘县人民医院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大同市南郊区人民医院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大同市新荣区人民医院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大同县人民医院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山西大同大学附属医院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天镇县人民医院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同煤集团总医院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左云县人民医院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陕西省汉中市中心医院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商洛市中心医院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铜川市人民医院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渭南市中心医院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第四军医大学口腔医学院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第四军医大学西京医院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华山中心医院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解放军第四五一医院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解放军三二三医院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蓝田县医院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民航西安医院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陕西省交通医院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陕西省结核病防治院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陕西省康复医院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陕西省友谊医院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西安交通大学第二附属医院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西安交通大学第一附属医院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西安交通大学口腔医院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西安交通大学医学院第一附属医院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西安庆华医院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西安市灞桥区人民医院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西安市第八医院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西安市第九医院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西安市第四医院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西安市第五医院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西安市电力中心医院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西安市儿童医院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西安市红会医院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西安市精神卫生中心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西安市临潼区妇幼保健院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西安市临潼区人民医院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西安市未央区中医医院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西安市新城区中医院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西安市胸科医院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西安市雁塔区中医医院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西安市长安区中医医院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西安医学院第二附属医院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西安医学院第一附属医院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西北妇女儿童医院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彬县第二人民医院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淳化县医院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泾阳县中医医院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礼泉县人民医院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礼泉县中医医院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乾县人民医院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秦都区第二人民医院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三原县妇幼保健院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三原县医院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三原县中医医院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陕西省核工业二一五医院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陕西中医学院第二附属医院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陕西中医药大学附属医院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市精神病专科医院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武功县人民医院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西藏民族大学附属医院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咸阳市第二人民医院东郊分院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咸阳市第一人民医院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咸阳市妇幼保健院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咸阳市精神病康复医院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咸阳市口腔医院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咸阳市中心医院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兴平市妇幼保健院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兴平市人民医院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兴平市中医医院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旬邑县妇幼保健院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旬邑县医院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旬邑县中医院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延安大学咸阳医院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杨凌示范区医院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永寿县妇幼保健院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永寿县人民医院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长武县中医医院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延安大学附属医院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奉贤区牙病防治所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复旦大学附属儿科医院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复旦大学附属妇产科医院（黄浦院区）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复旦大学附属妇产科医院（杨浦院区）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复旦大学附属华东医院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复旦大学附属华山医院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复旦大学附属华山医院宝山分院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复旦大学附属华山医院北院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复旦大学附属金山医院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复旦大学附属上海市第五人民医院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复旦大学附属眼耳鼻喉科医院（汾阳院区）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复旦大学附属中山医院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复旦大学附属中山医院青浦分院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复旦大学附属肿瘤医院（西院区）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复旦大学附属华山医院东院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嘉定区中心医院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解放军第八五医院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静安区市北医院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上海电力医院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上海东方肝胆外科医院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上海奉贤区奉城医院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上海市奉贤区中心医院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上海光华中西医结合医院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上海建工医院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上海交通大学医学院附属第九人民医院（南院区）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上海交通大学医学院附属第三人民医院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上海交通大学医学院附属仁济医院东院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上海交通大学医学院附属仁济医院北院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上海交通大学医学院附属仁济医院嘉定分院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上海交通大学医学院附属仁济医院南院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上海交通大学医学院附属仁济医院西院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上海交通大学医学院附属瑞金医院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上海交通大学医学院附属瑞金医院北院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上海交通大学医学院附属瑞金医院卢湾分院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上海交通大学医学院附属上海儿童医学中心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上海交通大学医学院附属同仁医院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上海交通大学医学院附属新华医院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上海市普陀区利群医院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上海市宝山区大场医院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上海市宝山区罗店医院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上海市宝山区中西医结合医院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上海市第八人民医院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上海市第六人民医院东院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上海市第六人民医院金山分院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上海市第三康复医院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上海市第十人民医院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上海市第一妇婴保健院东院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上海市第一妇婴保健院南院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上海市第一妇婴保健院西院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上海市第一康复医院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上海市第一人民医院宝山分院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上海市第一人民医院南院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上海市东方医院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上海市东方医院南院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上海市肺科医院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上海市肺科医院延庆路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上海市奉贤区古华医院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上海市奉贤区中医医院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上海市公共卫生临床中心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上海市虹口区江湾医院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上海市虹口区精神卫生中心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上海市黄浦区妇幼保健院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上海市黄浦区香山中医医院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上海市黄浦区中心医院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上海市嘉定区安亭医院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上海市嘉定区妇幼保健院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上海市嘉定区南翔医院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上海市嘉定区中医医院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上海市金山区中西医结合医院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上海市精神卫生中心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上海市静安区中心医院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上海市闵行区妇幼保健院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上海市闵行区精神卫生中心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上海市闵行区中西医结合医院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上海市闵行区中心医院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上海市闵行区中医医院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上海市皮肤病医院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上海市浦东新区公利医院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上海市浦东新区精神卫生中心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上海市浦东新区浦南医院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上海市浦东新区人民医院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上海市浦东新区眼病牙病防治所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上海市浦东新区中医医院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上海市浦东新区周浦医院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复旦大学附属浦东医院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上海市普陀区妇婴保健院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上海市普陀区人民医院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上海市普陀区中心医院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上海市青浦区中医医院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上海市瑞金康复医院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上海市松江区方塔中医医院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上海市松江区妇幼保健院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上海市松江区泗泾医院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上海市松江区中心医院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上海市胸科医院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上海市徐汇区中心医院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上海市眼病防治中心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上海市杨浦区妇幼保健院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上海市杨浦区控江医院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上海市杨浦区市东医院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上海市杨浦区中医医院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上海市杨思医院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上海市闸北区市北医院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上海市闸北区中心医院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上海市长宁区妇幼保健院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上海市长宁区精神卫生中心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上海市长宁区天山中医医院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上海市针灸经络研究所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上海同仁医院威宁分院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上海徐汇区大华医院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上海邮电医院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上海岳阳医院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上海长海医院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第二军医大学长征医院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上海中医药大学附属龙华医院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上海中医药大学附属龙华医院浦东分院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上海中医药大学附属曙光医院东院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上海中医药大学附属曙光医院西院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同济大学附属口腔医院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同济大学附属同济医院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同济大学附属同济医院分院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武警上海市总队医院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上海市杨浦区中心医院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中国福利会国际和平妇幼保健院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中国人民解放军第八五医院分院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中国人民解放军第四五五医院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中国人民解放军第四一一医院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宝坻区中医医院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北京市监狱管理局清河分局医院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东丽医院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海洋石油总医院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天津港口医院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天津海滨人民医院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天津坤如玛丽妇产医院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天津市宝坻区人民医院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天津市北辰区中医医院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天津市北辰医院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天津市滨海新区大港医院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天津市第二儿童医院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天津市第三中心医院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天津市第四医院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天津市第四中心医院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天津市第五中心医院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天津市第一中心医院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天津市东丽区中医医院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天津市妇女儿童保健中心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天津市公安医院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天津市海河医院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天津市和平区中医医院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天津市河西区康复医院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天津市河西区柳林医院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天津市河西区中医医院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天津市红桥医院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天津市红桥中医医院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天津市环湖医院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天津市蓟州区人民医院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天津市民政局复员退伍军人精神病疗养院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天津市南开区三潭医院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天津市南开区中医医院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天津市宁河县医院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天津市宁河区中医医院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天津市人民医院（总部）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天津市泰达医院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天津市武清区人民医院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天津市武清区中医医院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天津市西青医院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天津市咸水沽医院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天津市胸科医院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中国医学科学院血液病医院（总院）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天津市眼科医院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天津市职业病防治院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天津市中心妇产科医院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天津市中医药研究院附属医院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天津医科大学代谢病医院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天津医科大学第二医院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天津医科大学口腔医院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天津医科大学肿瘤医院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天津医科大学总医院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天津医科大学总医院滨海医院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天津医科大学总医院空港医院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天津中医药大学第二附属医院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天津中医药大学第一附属医院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中国人民解放军第二五四医院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西藏自治区阿里地区人民医院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西藏自治区昌都地区人民医院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西藏自治区拉萨市人民医院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西藏自治区人民医院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西藏自治区林芝地区人民医院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西藏自治区那曲地区人民医院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西藏自治区日喀则市人民医院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西藏自治区山南市人民医院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新疆维吾尔族自治区库车县人民医院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新疆维吾尔族自治区巴音郭楞蒙古自治州人民医院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新疆维吾尔族自治区石河子市人民医院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乌鲁木齐市第四人民医院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乌鲁木齐市第一人民医院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乌鲁木齐市精神病福利院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乌鲁木齐市西山医院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乌鲁木齐市友谊医院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新疆创伤外科医院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新疆煤矿总医院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新疆维吾尔自治区维吾尔医医院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新疆维吾尔自治区胸科医院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新疆维吾尔自治区职业病医院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新疆心脑血管病医院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新疆医科大学第二附属医院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新疆医科大学第六附属医院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新疆医科大学第五附属医院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新疆医科大学第一附属医院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新疆医科大学中医学院直属医院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新疆自治区第一济困医院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中国人民解放军第二十三医院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中国人民解放军第四七四医院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新疆维吾尔族自治区阿勒泰地区人民医院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云南省楚雄彝族自治州人民医院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云南省大理白族自治州人民医院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云南省开远市人民医院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安宁市人民医院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成都军区昆明总医院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昆明市第三人民医院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昆明市第一人民医院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昆明市儿童医院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昆明市妇幼保健院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昆明市官渡区人民医院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昆明市五华区人民医院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昆明市中医院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昆明医科大学第二附属医院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昆明医科大学第一附属医院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禄劝县人民医院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云南昆钢医院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云南省交通中心医院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中国人民解放军第五三三医院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陆良县人民医院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曲靖市第二人民医院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曲靖市第三人民医院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曲靖市第五人民医院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曲靖市第一人民医院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云南省文山壮族苗族自治州人民医院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西双版纳傣族自治州人民医院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淳安县第一人民医院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富阳区妇幼保健院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富阳市人民医院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富阳市中医骨伤医院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杭州师范大学附属医院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杭州市富阳区第二人民医院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杭州市江干区人民医院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杭州市推拿医院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杭州市西湖区第二人民医院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杭州市西溪医院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杭州市萧山区第二人民医院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杭州市萧山区第三人民医院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杭州市萧山区第四人民医院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杭州市萧山区第一人民医院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杭州市萧山区中医骨伤科医院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杭州市萧山区中医院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杭州市余杭区第二人民医院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杭州市余杭区第三人民医院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杭州市余杭区第五人民医院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杭州市余杭区第一人民医院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杭州市余杭区良渚医院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杭州市余杭区中医院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建德市第四人民医院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建德市第一人民医院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临安市人民医院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临安市於潜人民医院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临安市中医院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桐庐县第一人民医院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桐庐县中医院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西湖区第二人民医院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萧山第四人民医院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余杭区第一人民医院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浙江大学医学院附属第二医院（解放路院区）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浙江大学医学院附属第一医院（庆春院区）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浙江大学医学院附属儿童医院滨江分院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浙江大学医学院附属妇产科医院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浙江大学医学院附属邵逸夫医院（庆春院区）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浙江省立同德医院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浙江省新华医院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浙江中医药大学附属第三医院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中国人民解放军第117医院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海宁市第二人民医院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海宁市第四人民医院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海宁市人民医院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海宁市中医院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海盐县人民医院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嘉善第二人民医院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嘉善县第一人民医院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嘉兴市第二医院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嘉兴市第一医院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嘉兴市妇幼保健院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嘉兴市王店人民医院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平湖市第二人民医院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平湖市第一人民医院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桐乡市第二人民医院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桐乡市第三人民医院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桐乡市第一人民医院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桐乡市妇幼保健院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桐乡市中医医院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浙江省荣军医院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浙江省中医院平湖分院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东阳市横店医院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东阳市红十字会医院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东阳市中医院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金华市第二医院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金华市第五医院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金华市妇幼保健院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金华市人民医院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金华市婺城区第一人民医院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金华市中心医院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金华中医院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兰溪市人民医院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兰溪市中医院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磐安县人民医院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浦江县人民医院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武义县第一人民医院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武义县中医院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义乌市第二人民医院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义乌市第三人民医院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义乌市妇女儿童医院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义乌市精神卫生中心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义乌市中心医院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义乌市中医医院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永康市第一人民医院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永康市妇女儿童医院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永康市中医院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浙江大学医学院附属第四医院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丽水市中心医院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北仑区人民医院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慈溪市第二人民医院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慈溪市第六人民医院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慈溪市第七人民医院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慈溪市第三人民医院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慈溪市人民医院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奉化市人民医院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宁波113医院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宁波大学医学院附属医院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宁波市第二医院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宁波市第九医院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宁波市第六医院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宁波市第四医院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宁波市第一医院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宁波市妇女儿童医院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宁波市医疗中心李惠利医院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宁波市鄞州人民医院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宁波市镇海区人民医院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宁海县第一人民医院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宁海县第一医院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象山县中医医院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象山县中医院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鄞州第二医院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鄞州区第六医院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鄞州人民医院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余姚市第二人民医院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余姚市第三人民医院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余姚市第四人民医院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余姚市人民医院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衢州市中医医院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上虞区第二人民医院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绍兴第二医院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绍兴市第六人民医院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绍兴市第七人民医院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绍兴市第五医院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绍兴市妇幼保健院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绍兴市柯桥区中医医院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绍兴市口腔医院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绍兴市立医院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绍兴市中医院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嵊州市妇幼保健院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嵊州市人民医院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新昌县人民医院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诸暨市第二人民医院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诸暨市第三人民医院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诸暨市第四人民医院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诸暨市人民医院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浙江省台州医院（路桥院区）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苍南县第二人民医院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苍南县第三人民医院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苍南县人民医院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苍南县中医院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洞头区人民医院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乐清市第二人民医院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乐清市第五人民医院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乐清市妇幼保健院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乐清市人民医院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龙湾区第一人民医院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瓯海区第二人民医院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平阳县第二人民医院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平阳县中医院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瑞安市第二人民医院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瑞安市第三人民医院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瑞安市妇幼保健院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瑞安市人民医院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瑞安市人民医院妇幼分院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瑞安市塘下人民医院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泰顺县人民医院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塘下人民医院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温州市第七人民医院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温州市龙湾区人民医院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温州市鹿城区人民医院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温州市中心医院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温州市中医院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温州医科大学附属第二医院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温州医科大学附属第三人民医院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温州医科大学附属第一医院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温州医科大学附属康宁医院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温州医科大学口腔医学院附属口腔医院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温州医学院附属第二医院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温州医学院附属第二医院育英儿童医院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温州医学院附属眼视光医院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温州中医药大学附属温州中西医结合医院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文成县人民医院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永嘉县第三人民医院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永嘉县中医医院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永嘉县中医院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中国人民解放军第一一八医院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岱山县第二人民医院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岱山县第一人民医院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中国人民解放军第四一三医院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舟山普陀中医医院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舟山市第二人民医院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舟山市人民医院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舟山市中医院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巴南区人民医院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北碚区中医院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大渡口区第一人民医院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陆军军医大学第二附属医院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涪陵区人民医院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解放军第324医院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重庆医科大学附属第一医院（梁平县医院）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重庆医科大学附属第一医院（荣昌区医院）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巫山县人民医院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巫山县中医院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武隆县人民医院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陆军军医大学第一附属医院（西南医院）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陆军军医大学第三附属医院（大坪医院）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重钢总医院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重庆医科大学附属第一医院（两江新区医院）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重庆陈家桥医院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重庆第七人民医院烧伤救治中心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重庆垫江县中医院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重庆合川区中医院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重庆建设医院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重庆市开州区人民医院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重庆南桐矿业有限责任公司总医院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重庆三峡妇女儿童医院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重庆三峡医药高等专科学校附属人民医院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重庆三峡中心医院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重庆三峡中心医院（百安分院）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重庆沙坪坝区人民医院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重庆沙坪坝中医院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重庆市巴南区第二人民医院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重庆市北碚区精神卫生中心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重庆市北碚区中医院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重庆医科大学附属第一医院（璧山区医院）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重庆市璧山区中医院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重庆市大足区人民医院（新院区）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重庆市第八人民医院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重庆市第九人民医院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重庆市人民医院（三院院区）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重庆市第十二人民医院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重庆市精神卫生中心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重庆市第十三人民医院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重庆市垫江县人民医院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重庆市涪陵区中医院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重庆市涪陵中心医院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重庆市高新区人民医院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重庆市公共卫生医疗救治中心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重庆医科大学附属第一医院（合川区医院）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重庆市江北区第一人民医院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重庆市江北区中医院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重庆市江津区中心医院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重庆市九龙坡区第二人民医院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重庆市九龙坡区人民医院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重庆市九龙坡区中医院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重庆市南岸区第一中医院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重庆市南岸区人民医院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重庆医科大学附属第一医院（南川区医院）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重庆医科大学附属第一医院（綦江区医院）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重庆市黔江中心医院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重庆市人民医院（两江院区）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重庆市沙坪坝区人民医院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重庆市铜梁区妇幼保健院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重庆医科大学附属第一医院（铜梁区医院）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重庆医科大学附属第一医院（万盛经开区医院）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重庆市万州区第四人民医院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重庆市万州区妇幼保健院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重庆市永川区人民医院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重庆市渝北区妇幼保健院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重庆医科大学附属第一医院（渝北区医院）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重庆市渝北区中医院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重庆医科大学附属第一医院（长寿区医院）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重庆市中山医院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重庆市中医骨科医院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重庆大学附属肿瘤医院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重庆医科大学附属大学城医院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重庆医科大学附属第二医院(渝中院区)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重庆医科大学附属第一医院（院本部）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重庆医科大学附属第一医院（金山医院）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重庆医科大学附属儿童医院（渝中院区）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重庆医科大学附属口腔医院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重庆医科大学附属永川医院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重庆云阳县中医院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重庆长城医院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重庆长寿化工园区医院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重庆医科大学附属第一医院（忠县医院）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鞍钢集团总医院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安徽省皖南医学院弋矶山医院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江苏省常州市第二人民医院（阳湖院区）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福建省福州市第二医院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福建省晋江市医院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福建省龙海市中医院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龙岩市第一医院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福建省宁德市闽东医院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福建省宁德市医院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福建省邵武市立医院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福建省武夷山市立医院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福建中医药大学附属第三人民医院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福建中医药大学附属漳州市中医院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甘肃省酒泉市第二人民医院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甘肃省酒泉市中医院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广东省佛山市第一人民医院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佛山市中医院（主院区）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广东省广州中医药大学附属新会中医院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广东省中医院大学城分院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广东中山大学附属第八医院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广西右江民族医学院附属医院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广州市越秀区人民医院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杭州市下沙医院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河北省高碑店市医院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河北省华北石油管理局总医院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河北省张家口市第二医院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河南省巩义市人民医院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河南省科技大学第二附属医院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黑龙江省鸡西市人民医院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黑龙江省佳木斯市中心医院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黑龙江省佳木斯中医医院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黑龙江省牡丹江市第二人民医院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黑龙江省牡丹江医学院红旗医院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湖北省长阳土家族自治县人民医院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湖北省丹江口市第一医院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湖北省谷城县人民医院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湖北省洪湖市人民医院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湖北省黄石市第二医院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湖北省荆州市公安县人民医院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湖北省老河口市第一医院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湖北省松滋市人民医院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湖北省宜昌市夷陵医院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湖北省宜城市人民医院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湖北省宜都市第一人民医院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湖北省枣阳市第一人民医院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湖北省枝江市人民医院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湖南省南华大学附属第二医院（东院区）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湖南省南华大学附属第一医院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湖南省石门县人民医院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湖南省湘潭市中心医院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吉林省长春市中心医院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吉林省吉林大学第一医院二部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中国医科大学四平医院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吉林省通化市中心医院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吉林省延边大学附属医院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江苏省滨海县人民医院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江苏省常州市第二人民医院（城中院区）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江苏省淮安市第二人民医院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江苏省连云港市中医院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江苏省南京东南大学附属中大医院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江苏省南京市第一医院（本部）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江苏省人民医院（河西分院）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苏州大学附属第一医院（总院区）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江苏省泰州市中医院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江苏省无锡市人民医院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江苏省盐城市第一人民医院（北院区）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江苏省盐城市第一人民医院（南院区）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江苏省扬州友好医院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江苏省溧水县人民医院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江西省景德镇市第一人民医院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锦州市传染病医院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开封市人民医院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昆明医科大学第一附属医院呈贡医院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辽宁省本溪市金山医院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辽宁省灯塔市中医医院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辽宁省抚顺市清原满族自治县人民医院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2999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辽宁省抚顺市清原满族自治县中医院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辽宁省抚顺市中心医院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辽宁省沈阳市第四人民医院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辽宁省沈阳市东北输变电设备集团中心医院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辽宁省沈阳市于洪区人民医院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辽宁省铁法煤业集团总医院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辽宁省铁岭市西丰县中医院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辽宁省营口市中心医院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辽宁医学院附属第一医院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内蒙古医科大学附属医院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青海省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青海省红十字医院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山东菏泽市立医院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山东省德州市人民医院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山东省济宁市第一人民医院（总院区）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山东省青岛市立医院（本部）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山东省青岛市立医院（东院区）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山东第一医科大学第二附属医院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山东省潍坊市人民医院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山东省郯城县第一人民医院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第四军医大学唐都医院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陕西省扶风县人民医院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上海市第一人民医院（北部）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四川省巴中市中心医院（南池院区）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四川省峨眉山市人民医院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四川省广元市苍溪县人民医院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四川省南充市第二人民医院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四川省南充市第五人民医院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四川省宜宾市第二人民医院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天津市汉沽区医院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天津市黄河医院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天津泰达国际心血管病医院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天津中医学院第一附属医院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新疆维吾尔族自治区乌鲁木齐市友谊医院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浙江大学医学院附属邵逸夫医院（下沙院区）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浙江省湖州市第一人民医院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浙江省丽水市人民医院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浙江省中医院下沙院区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中国人民解放军第201医院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中国人民解放军第211医院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中国人民解放军陆军第八十一集团军医院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中国人民解放军第309医院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中国石化集团胜利石油管理局胜利医院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重庆大学校医院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福建省厦门中山医院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建宁县总医院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中国人民解放军联勤保障部队第九〇九医院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庆阳市中医医院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广东省深圳市第五人民医院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阳江市人民医院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肇庆市第一人民医院（新院区）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广西壮族自治区北流市人民医院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海南省琼海市人民医院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丰润区第二人民医院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中国人民解放军陆军第八十二集团军医院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郸城县人民医院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邓州市人民医院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河南省南阳医学高等专科学校第一附属医院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中国人民解放军第一五零中心医院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三门峡市中心医院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太康县第一人民医院（南院区）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大庆市人民医院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牡丹江市康安医院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黑龙江省牡丹江心血管病医院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汉川市第一人民医院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湖北省仙桃市第一人民医院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阳新县人民医院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汉寿县人民医院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湖南常德市第一人民医院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平江县第一人民医院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双峰县人民医院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吉林大学第一医院二部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常州市武进中医医院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淮安市第一人民医院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泰兴市人民医院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徐州市肿瘤医院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江西省宜春市中医院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内蒙古科技大学包头医学院第一附属医院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聊城市第二人民医院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山东省郓城县中医院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榆林市第一医院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绵阳市第三人民医院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四川省广元市中心医院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克拉玛依市中心医院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浙江省中医院湖滨院区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丰都县中医院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奉节县人民医院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彭水苗族土家族自治县中医院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彭水苗族土家族自治县人民医院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重庆医科大学附属第一医院（酉阳县医院）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石柱土家族自治县人民医院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重庆市石柱土家族自治县中医院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望城区人民医院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甘南州人民医院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白银市第一人民医院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张掖市人民医院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庆阳市人民医院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陇南市第一人民医院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来宾市人民医院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崇左市人民医院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三沙市人民医院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绥化市第一医院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黑龙江大兴安岭松岭区人民医院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阿拉善盟人民医院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宁夏回族自治区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中卫市人民医院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青海省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果洛州人民医院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青海省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玉树州人民医院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青海省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海东市人民医院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资阳市人民医院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中国人民解放军第十五医院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博尔塔拉州人民医院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塔城市人民医院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阿勒泰市人民医院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喀什市人民医院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吐鲁番市人民医院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哈密市人民医院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克孜州人民医院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玉溪市第三人民医院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保山市第二人民医院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昭通市第二人民医院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丽江市人民医院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普洱市人民医院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临沧市人民医院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迪庆州人民医院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云南省怒江傈僳族自治州人民医院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德宏州第二人民医院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重庆市开州区中医院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太湖县人民医院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桐城市人民医院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怀宁县人民医院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安庆市第一人民医院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枞阳县第二人民医院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枞阳县人民医院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桐城市第三人民医院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怀宁县第三人民医院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怀宁县第二人民医院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安庆市郊区第二人民医院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安庆市大观区人民医院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蚌埠市蚌山区人民医院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蚌埠市禹会区人民医院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淮南市第三人民医院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淮南市第二人民医院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淮南市第一人民医院西区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凤台县人民医院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淮南市谢家集区人民医院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淮南市田家庵区人民医院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淮南市第六人民医院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淮南市第五人民医院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淮南市第四人民医院/淮南市精神病医院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芜湖市第二人民医院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中国人民解放军五七二0厂医院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繁昌县人民医院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芜湖市第一人民医院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芜湖市第四人民医院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芜湖市第三人民医院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阜阳市颍州人民医院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界首市第二人民医院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中国人民解放军第三中心医院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宝鸡市中心医院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宝鸡市第二人民医院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中国人民解放军第五三七医院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中国人民解放军第三十一医院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千阳县人民医院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蒙城县人民医院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蒙城县第三人民医院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中国人民解放军第三二二医院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大同煤矿集团公司一医院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大同市第五人民医院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大同市第七人民医院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大同市第一人民医院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阳高县人民医院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大同市城区人民医院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大同市第三人民医院肿瘤分院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中国人民解放军广州军区一五七中心医院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广州军区广州总医院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电白县人民医院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广东三九脑科医院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暨南大学医学院第一附属医院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广州中医药大学第二附属医院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广州医学院第一附属医院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中国人民解放军一六九中心医院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南华大学附属第二医院（总院区）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武警湖北总队医院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中国人民解放军四五七医院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中国人民解放军第一六一医院（汉口院区）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武汉市中西医院结合医院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中国人民解放军一五三中心医院东区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中国人民解放军一五三中心医院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濮阳市人民医院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安阳地区人民医院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中国人民解放军海军第四Ｏ一医院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聊城市中医院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济宁医学院第二附属医院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山东侨联医院淄博市耳鼻咽喉医院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青岛市第五人民医院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青岛市人民医院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赣南医学院附属医院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南昌市中西医结合医院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中国人民解放军第八十一医院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扬州市中医院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扬州大学医学院附属医院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苏州市中医院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南京中医药大学附属医院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中国人民解放军第二Ｏ三医院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齐齐哈尔市中医医院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中国人民解放军第二二二医院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中国人民解放军第二Ｏ八医院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吉化集团公司总医院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吉林市中西医结合医院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长春市第三医院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吉林大学第三医院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中国人民解放军第四Ｏ六医院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中国人民解放军第四六三医院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中国医科大学第一附属医院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中国人民解放军第二六四医院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山西省中医学院附属医院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海南省工人医院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沧州市中西医结合医院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中国石油天然气总公司中心医院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西安市红十字会医院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云南中医药大学第一附属医院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中国人民解放军第四十四医院黄河医院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中国人民解放军第四十七医院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空军成都医院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中国人民解放军成都军区总医院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四川大学华西第三医院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中国人民解放军第四七三医院空军兰州医院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中国人民解放军第一医院三爱堂医院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兰州第一人民医院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福建中医学院附属人民医院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中国人民武装警察部队安徽省总队医院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中国人民武警部队湖南省总队医院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南华大学附属南华医院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长沙市第七医院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抚顺市第四医院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中国人民解放军第一五九医院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中国人民解放军第一五五医院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中国人民解放军一五四医院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鹤壁市第一人民医院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泰安市中医院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肥城矿业集团中心医院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兖州久益医院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潍坊市益都中心医院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淄博市第一人民医院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萍乡矿业集团有限公司总医院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萍乡市第二人民医院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赣州市第一人民医院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九江市中医院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温州市人民医院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浙江中医院大学附属第二医院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中国人民解放军第三五九医院金山医院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苏州大学附属儿童医院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镇江市第三人民医院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无锡市第一人民医院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中国人民武警部队辽宁省总队医院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运城市人民医院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中国人民解放军二六Ｏ医院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咸阳市第二人民医院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中国西电集团医院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西安市第七医院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陆军五十七医院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昆明市第二人民医院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中国人民解放军第四七六医院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福建中医学院附属泉州中医院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福州市中医院福州市人民医院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中国人民解放军第一0五医院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中国人民解放军第一六八医院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茂名市第三人民医院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东莞市长安医院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中山市黄圃人民医院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深圳市龙岗区坪山人民医院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深圳市龙岗区横岗人民医院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深圳市布吉人民医院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深圳市第九人民医院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深圳市第八人民医院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深圳市西乡人民医院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深圳市宝安区龙华人民医院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惠州市惠阳区第一人民医院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惠州市人民医院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从化市人民医院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增城市人民医院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广州市番禺区大岗人民医院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广州市番禺区人民医院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广州市芳村区第二人民医院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广州市海珠区第二人民医院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广州市越秀区第一人民医院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广州市东山区人民医院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衡南县人民医院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耒阳市人民医院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常宁市人民医院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祁东县人民医院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衡山县人民医院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衡阳县人民医院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衡阳市中医医院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衡阳市第一人民医院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长沙县第一人民医院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长沙市天心区人民医院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长沙市中心医院分院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广水市第二人民医院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广水市第一人民医院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随州市第二人民医院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郧县人民医院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孝昌县人民医院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孝感市第四人民医院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孝感市第一人民医院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云梦县人民医院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汉川市人民医院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应城市人民医院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武汉市第十四医院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中国人民解放军第五三四医院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新蔡县人民医院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遂平县人民医院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汝南县人民医院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舞阳县人民医院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漯河市郾城区第二人民医院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漯河市郾城区人民医院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漯河市第六人民医院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漯河市第二人民医院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清丰县人民医院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濮阳市中医院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栾川县人民医院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河南科技大学第三附属医院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开封县第二人民医院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开封市回族医院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开封市第四人民医院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开封市第三人民医院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西峡县人民医院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淅川县人民医院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社旗县人民医院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唐河县人民医院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镇平县人民医院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南阳市第九人民医院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信阳市第六人民医院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宝丰县人民医院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叶县人民医院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许昌县人民医院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许昌市魏都区第二人民医院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封邱县人民医院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长垣县人民医院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新乡市第二人民医院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睢县人民医院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中牟县第一人民医院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冠县人民医院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山东省莘县人民医院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阳谷县第一人民医院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东阿县人民医院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高唐县人民医院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临清市人民医院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聊城市东昌府人民医院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聊城市第四人民医院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聊城市第三人民医院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五莲县中医院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莒县中医院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日照市第三人民医院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宁阳县第一人民医院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新泰市第三人民医院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新泰市第二人民医院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泰安市泰山区人民医院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泰安市第二人民医院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泰安市第一人民医院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肥城市人民医院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泗水县人民医院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济宁市兖州区人民医院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兖矿集团公司第二医院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兖矿集团公司第三医院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济宁市中区人民医院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临朐县第三人民医院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寿光市中心医院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诸城市中医院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昌邑市中医院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潍坊寒亭区人民医院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栖霞市中医院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烟台市桃村中心医院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招远市中医院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烟台市牟平区人民医院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中国水电十三局医院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德州卫校附属医院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沂源县中医院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淄博市博山区中医院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淄博周村区人民医院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淄博市临淄区中医院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胶南市人民医院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平阴县中医院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商河县中医院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章丘市中医院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济南市历城区中医院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济南市历下区人民医院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芦溪县人民医院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萍乡市第三人民医院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会昌县人民医院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大余县人民医院大余县公疗医院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崇义县人民医院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定南县人民医院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全南县人民医院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瑞金市人民医院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修水县人民医院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新余市第二人民医院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新建县人民医院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南昌市高新医院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江西仁济医院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中国人民解放军一一八医院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兰溪市第二人民医院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文城县人民医院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瑞安市第五人民医院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象山县第一人民医院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桐乡市中医院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嘉善县第二人民医院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平湖市中医院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杭州市西湖区人民医院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中国人民解放军83567部队医院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中国人民解放军一四九医院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中国人民解放军第一Ｏ一医院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中国人民武装警察部队江苏总队南京医院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沭阳县人民医院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泗洪县人民医院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赣榆县人民医院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连云港市第一人民医院东方医院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睢宁县人民医院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邳州市第二人民医院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射阳县人民医院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响水县人民医院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阜宁县人民医院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建湖县人民医院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大丰市人民医院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盐城市第四人民医院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宝应县人民医院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高邮市人民医院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仪征市人民医院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扬州市第三人民医院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扬州市第二人民医院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通州市人民医院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常熟市第六人民医院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苏州市吴中区第二人民医院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苏州市平江区人民医院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丹阳市人民医院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句容市人民医院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扬中市人民医院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镇江市丹徒区人民医院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镇江市第二人民医院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无锡市锡山区人民医院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无锡市滨湖区人民医院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无锡市南长人民医院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无锡市北塘区人民医院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高淳县人民医院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南京市江宁区人民医院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南京市秦淮医院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中国人民解放军哈尔滨宏征医院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阿城市人民医院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哈尔滨市第七人民医院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舒兰市人民医院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桦甸市人民医院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九台市第三人民医院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长春市朝阳区人民医院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中国人民解放军第四Ｏ三医院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普兰店市第一人民医院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新民市人民医院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沈阳市大东区人民医院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沈阳市第六人民医院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芮城县人民医院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阳曲县中医院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山西中医学院附属第二中医院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山西医科大学第三医院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中国人民解放军海军四二四医院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中国人民解放军海军南航医院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海口市琼山人民医院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中国人民解放军二五五医院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临城县中医院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平乡县医院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南和县医院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沙河市医院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孟村回族自治县中医院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固安县人民医院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丰南市中医院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迁西县中医医院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乐亭县中医院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乐亭县医院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滦县中医院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唐海县医院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开滦(集团)有限责任公司范各庄矿业公司医院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唐山市古冶区医院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唐山市第九医院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唐山市第七医院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兴隆县中医院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围场县医院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宽城满族自治县中医院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营兴人民医院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承德市双滦区人民医院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万全县中医院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万全县医院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尚义县医院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怀安县医院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怀来县县医院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康保县人民医院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张家口市宣化区医院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张家口市中医研究院附属医院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徐水县人民医院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唐县人民医院唐县白求恩医院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蠡县医院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清苑县人民医院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定州市中医院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定州市中心医院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涿州市中医院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保定市人民医院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武安市医院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肥乡县医院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曲周县中医院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永年县中医院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河北工程学院附属医院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井陉县中医院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赞皇县中医院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栾城县医院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行唐县人民医院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平山县中医院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无极县中医院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无极县医院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深泽县中医院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深泽县医院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藁城市人民医院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鹿泉市人民医院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石家庄市人民医院（方北路院区）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河北省第七医院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柞水县人民医院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长武县人民医院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彬县人民医院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户县中医院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蓝田县中医院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陕西正和医院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西安市未央区第一人民医院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西安市莲湖区红十字会医院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西安市碑林区红十字会医院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中美集团西安同济医院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西安市第十医院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中国人民解放军第四七八医院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永胜县人民医院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宜良县人民医院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嵩明县人民医院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禄劝县第一人民医院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路南县人民医院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昆明市东川区第一人民医院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绥阳县人民医院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遵义县人民医院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息烽县人民医院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贵阳市公共卫生救治中心（大营路院区）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中国人民解放军第5701厂医院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金堂县第一人民医院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成都市新都区人民医院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成都核工业四一六医院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成都市温江区人民医院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成都市第九人民医院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成都市第五人民医院（东区）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成都市第一人民医院（北区）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榆中县第一人民医院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兰州市西固区人民医院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兰州市城关区人民医院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中国人民解放军第九十二医院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顺昌县医院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泉州市人民医院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长乐市中医院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惠州市惠阳区平潭人民医院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惠州市惠阳区第二人民医院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十堰市第二人民医院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安陆市第二人民医院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汉川市第二人民医院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驻马店市第三人民医院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南乐县人民医院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范县人民医院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嵩县人民医院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新乡市第三人民医院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商丘县人民医院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中国人民解放军第四Ｏ七医院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东平县第一人民医院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上栗县人民医院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泗阳县人民医院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建湖县第二人民医院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太仓市沙溪人民医院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无锡市崇安区人民医院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无锡市第七人民医院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江浦县人民医院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齐齐哈尔碾子山区人民医院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齐齐哈尔市昂溪区人民医院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通河县人民医院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磐石市人民医院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长春市二道河子区人民医院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辽中县人民医院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大同市第六人民医院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丹凤县人民医院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镇安县人民医院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泾阳县人民医院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华坪县人民医院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会泽县人民医院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师宗县人民医院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晋宁县第二人民医院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晋宁县人民医院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寻甸回族自治县第一人民医院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昆明市西山区人民医院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赤水市人民医院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仁怀市人民医院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桐梓县人民医院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正安县人民医院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湄潭县人民医院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凤冈县人民医院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余庆县人民医院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修文县人民医院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贵阳市乌当区人民医院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金堂县第二人民医院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蒲江县人民医院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大邑县人民医院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成都市龙泉驿区第二人民医院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茂名市水东经济开发试验区人民医院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茂名市茂港区人民医院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东莞市塘厦人民医院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珠海市万山管理区人民医院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珠海市金海岸第一人民医院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深圳市公明人民医院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深圳市宝安区公明人民医院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汕头市潮阳区第二人民医院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汕头市升平区第二人民医院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汕头市金平区第一人民医院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汕头市濠江区人民医院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汕头市金园区人民医院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广州市番禺区大石人民医院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广州市越秀区第二人民医院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广州市龙洞人民医院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广州市天河区沙河人民医院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广州市白云区竹料人民医院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广东省中医院芳村分院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广州中医药大学第三附属医院（芳村院区）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广州市第十一人民医院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耒阳市第二人民医院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常宁市第三人民医院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常宁市第二人民医院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衡东县第二人民医院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祁东县第二人民医院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衡阳县第二人民医院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衡阳市南岳区人民医院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宁乡县第四人民医院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宁乡县第三人民医院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长沙县第三人民医院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长沙县第二人民医院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长沙市郊区人民医院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长沙市芙蓉区人民医院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中国人民解放军三三Ｏ三工厂医院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中国人民解放军总后九七医院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十堰市第五人民医院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十堰市第三人民医院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孝感市第三人民医院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大悟县河口第二人民医院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武汉市新洲区第二人民医院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武汉市新河人民医院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武汉市江岸区第二人民医院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湖北省中医院（光谷院区）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新蔡县第二人民医院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确山县第二人民医院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驻马店市第四人民医院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漯河市源汇区人民医院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漯河市第二人民医院五分院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漯河市第二人民医院四分院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漯河市第二人民医院三分院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漯河市第二人民医院二分院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漯河市第二人民医院一分院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台前县第二人民医院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台前县人民医院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清丰县第二人民医院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范县第二人民医院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濮阳市第三人民医院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濮阳市第二人民医院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鹤壁市鹤山区人民医院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鹤壁市第二人民医院（鹤山院区）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嵩县中医院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伊川县人民医院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孟津县第二人民医院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洛阳市郊区人民医院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洛阳市中州人民医院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洛阳市西工区人民医院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开封县第一人民医院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开封市第五人民医院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桐柏县人民医院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邓州市第三人民医院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邓州市第二人民医院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南召县人民医院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方城县人民医院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南阳市卧龙区第三人民医院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南阳市第六人民医院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南阳市第三人民医院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固始县第二人民医院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罗山县第二人民医院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信阳市第五人民医院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鲁山县人民医院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汝州市第三人民医院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叶县第二人民医院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平顶山市郊区人民医院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平顶山市新华区人民医院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平顶山市卫东区人民医院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禹州第二人民医院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鄢陵县第二人民医院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许昌市第三人民医院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卫辉市第二人民医院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卫辉市人民医院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辉县市第四人民医院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新乡市郊区人民医院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新乡市红旗区人民医院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汤阴县第二人民医院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汤阴县人民医院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滑县第二人民医院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安阳县第二人民医院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安阳县第一人民医院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永城市第二人民医院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中牟县第三人民医院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中牟县第二人民医院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巩义市第二人民医院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新密市第三人民医院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新密市第二人民医院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登封市中医院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郑州市二七区第二人民医院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郑州市二七人民医院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郑州市中原区人民医院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郑州市金水区第二人民医院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郑州市金水区人民医院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郑州市上街区人民医院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中国人民解放军四Ｏ二医院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中国人民解放军山东省军区济宁医院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中国人民解放军54960部队医院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中国人民解放军联勤保障部队第九六〇医院（南院区）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中国人民解放军四Ｏ一医院北院区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临清市第三人民医院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临清市第二人民医院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泰安市郊区第二人民医院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肥城市第二人民医院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兖州市第三人民医院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兖州市第二人民医院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曲阜市第二人民医院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济宁市第三人民医院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安丘市第二人民医院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诸城市第三人民医院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诸城市第二人民医院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高密市第二人民医院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潍坊市第四人民医院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海阳市第三人民医院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海阳市第二人民医院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栖霞市第三人民医院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莱州市第四人民医院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蓬莱市第三人民医院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蓬莱市第二人民医院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莱阳市第一人民医院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烟台市福山区人民医院高疃分院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禹城市中医院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淄博市周村区第二人民医院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即墨市第七人民医院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即墨市第六人民医院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即墨市第五人民医院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即墨市第四人民医院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即墨市第三人民医院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即墨市第二人民医院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莱西市第四人民医院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莱西市第二人民医院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平度市第四人民医院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胶州市第五人民医院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胶州市第四人民医院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胶州市第三人民医院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胶州市第二人民医院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胶南市第六人民医院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胶南市第四人民医院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胶南市第三人民医院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胶南市第二人民医院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青岛市第七人民医院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青岛市人民医院分院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莲花县人民医院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萍乡市安源区人民医院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萍乡市湘东人民医院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萍乡市人民医院金陵分院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南康市人民医院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赣县第二人民医院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赣州市第二人民医院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江西共青城人民医院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永康市第三人民医院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永康市第二人民医院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金华市婺城区第二人民医院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温州市瓯海区第三人民医院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温州市瓯海区人民医院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温州市第八人民医院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温州市第五人民医院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宁波市江东区人民医院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海宁市第三人民医院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临安市于潜人民医院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临安市昌北人民医院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富阳市第三人民医院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建德市第三人民医院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建德市第二人民医院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杭州市萧山区第五人民医院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杭州市余杭区第四人民医院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杭州市朝晖人民医院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杭州市拱墅区半山人民医院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杭州市拱墅区第二人民医院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杭州拱墅区人民医院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杭州市西湖区留下人民医院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杭州市西湖区第三人民医院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杭州市上城区人民医院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杭州市第一人民医院分院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浙江省人民医院滨江分院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中国人民解放军七三Ｏ三二部队医院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连云港市云台区人民医院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连云港市第四人民医院新浦分院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邳州市第五人民医院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邳州市第四人民医院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新沂市第六人民医院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新沂市第二人民医院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徐州市贾汪区第三人民医院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徐州市贾汪区第二人民医院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徐州市彭城人民医院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徐州市云龙区人民医院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徐州市第五人民医院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东台市第四人民医院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东台市第三人民医院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东台市第二人民医院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大丰市第二人民医院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盐城市盐都区第二人民医院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江都市第二人民医院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仪征市第二人民医院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扬州市邗江区第三人民医院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扬州市邗江区第二人民医院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扬州市郊区人民医院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启东市第七人民医院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启东市第五人民医院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启东市第四人民医院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启东市第三人民医院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海门市第三人民医院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如皋市第四人民医院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如皋市第三人民医院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如皋市第二人民医院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昆山市第三人民医院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昆山市第一人民医院友谊医院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张家港市金港人民医院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常熟市第二人民医院一分院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太仓市浏河人民医院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太仓市第三人民医院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太仓市第二人民医院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吴江市第二人民医院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苏州市沧浪区人民医院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苏州市第七人民医院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镇江市京口区人民医院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镇江市润州区人民医院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江阴市第二人民医院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无锡市锡山区第二人民医院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讷河市第二人民医院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讷河市第一人民医院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齐齐哈尔市梅里斯达斡尔族区人民医院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五常市第二人民医院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阿城市人民医院分院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哈尔滨市呼兰区第二人民医院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哈尔滨市动力区第二人民医院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哈尔滨市南岗区和平人民医院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哈尔滨市平房区人民医院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中国人民解放军65316部队医院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磐石市第三人民医院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磐石市第二人民医院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桦甸市第三人民医院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九台市第二人民医院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农安市兴华人民医院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长春春城人民医院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中国人民解放军第四六九医院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中国人民解放军第二一五医院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中国人民解放军一五七医院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瓦房店市第五人民医院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瓦房店市第四人民医院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瓦房店市第三人民医院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瓦房店市第二人民医院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普兰店市第三人民医院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普兰店市第二人民医院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大连市西岗区人民医院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大连市沙河口区人民医院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大连市旅顺口区第二人民医院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大连市金州区第四人民医院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大连市金州区第三人民医院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铁法市人民医院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新民市第五人民医院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新民市第三人民医院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新民市第二人民医院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沈阳市大东区第二人民医院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沈阳市东陵区人民医院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沈阳市苏家屯区第三医院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沈阳市皇姑区第八人民医院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沈阳市皇姑区第七人民医院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沈阳市皇姑区第二人民医院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沈阳市皇姑区第一人民医院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沈阳市于洪区第五人民医院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沈阳市于洪区第四人民医院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沈阳市于洪区第三人民医院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沈阳市沈河区人民医院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运城市眼科医院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古交市人民医院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太原市小店区人民医院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中国人民武装警察部队海南省边防总队医院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中国人民解放军51052部队医院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中国人民解放军51036部队医院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中国人民解放军51034部队桥东医院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中国人民解放军93428部队癫痫病医院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中国人民解放军四七二医院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廊坊市广安区人民医院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廊坊市人民医院第四分院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廊坊市人民医院第三分院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廊坊市人民医院第一分院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石家庄第一人民医院分院石家庄建南医院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洛南县医院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商南县人民医院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商州区人民医院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黄陵县人民医院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子长县人民医院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延长县人民医院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黄龙县人民医院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宜川县人民医院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志丹县人民医院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安塞县人民医院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富县人民医院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延安市人民医院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咸阳市秦都区第一人民医院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户县人民医院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周至县人民医院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陕西省人民医院唐城分院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西安市阎良区人民医院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西安市未央区第二人民医院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陕西西京中医医院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西安市第三医院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宣威市人民医院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昆明市东川区第二人民医院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昆明市中级人民法院直属医院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昆明市盘龙区人民医院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贵阳市白云区人民医院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贵阳市第六人民医院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中国人民解放军成都军区机关医院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中国人民武装警察部队水电第三总队医院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双流县第二人民医院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都江堰市第二人民医院幸福路分院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都江堰市第二人民医院太平街分院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成都现代医院（武侯院区）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成都市新华人民医院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成都市武侯区第五人民医院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成都市青羊区第十人民医院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成都市青羊区第九人民医院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成都市青羊区第八人民医院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成都市青羊区第七人民医院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成都市青羊区第六人民医院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成都市青羊区第五人民医院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成都市青羊区第三人民医院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成都市青羊区人民医院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成都市锦江区第三人民医院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成都市金牛区第四人民医院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四川省第三人民医院（主院区）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兰州市七里河区人民医院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兰州市红古区人民医院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兰州市安宁区人民医院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首都医科大学附属北京朝阳医院（主院区）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首都医科大学附属北京朝阳医院（京西院区）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中国人民解放军空军航空医学研究所附属医院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中国人民解放军海军总医院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首都医科大学宣武医院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中国人民解放军第305医院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中国人民解放军第302医院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中国人民解放军第307医院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中国人民解放军第455医院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中国人民解放军第421医院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中国人民解放军广州军区157中心医院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广东医学院附属医院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广东省农垦中心医院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湛江中心人民医院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中国人民解放军第196医院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中国人民解放军第422医院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梅州市人民医院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阳江人民医院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普宁市人民医院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肇庆市第一人民医院（北岭院区）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中国人民解放军第303医院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中国人民解放军第181医院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百色市人民医院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贵港市人民医院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钦州市第二人民医院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河池市人民医院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中国人民解放军第81医院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中国人民解放军第454医院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中国人民解放军第102医院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江苏省苏北人民医院 （新区分院）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镇江市第四人民医院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中国人民解放军第113医院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浙江省台州医院（临海院区）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3999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中国人民解放军第123医院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巢湖市第一人民医院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马鞍山人民医院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江西省人民医院（爱国路院区）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中国人民解放军第94医院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中国人民解放军第171医院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景德镇第一人民医院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景德镇市第二人民医院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景德镇市第三人民医院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吉安市第三人民医院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抚州市第一人民医院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fldChar w:fldCharType="begin"/>
            </w:r>
            <w:r>
              <w:rPr>
                <w:rFonts w:hint="eastAsia" w:ascii="黑体" w:hAnsi="黑体" w:eastAsia="黑体" w:cs="黑体"/>
                <w:i w:val="0"/>
                <w:iCs w:val="0"/>
                <w:color w:val="auto"/>
                <w:kern w:val="0"/>
                <w:sz w:val="22"/>
                <w:szCs w:val="22"/>
                <w:u w:val="none"/>
                <w:lang w:val="en-US" w:eastAsia="zh-CN" w:bidi="ar"/>
              </w:rPr>
              <w:instrText xml:space="preserve"> HYPERLINK "" </w:instrText>
            </w:r>
            <w:r>
              <w:rPr>
                <w:rFonts w:hint="eastAsia" w:ascii="黑体" w:hAnsi="黑体" w:eastAsia="黑体" w:cs="黑体"/>
                <w:i w:val="0"/>
                <w:iCs w:val="0"/>
                <w:color w:val="auto"/>
                <w:kern w:val="0"/>
                <w:sz w:val="22"/>
                <w:szCs w:val="22"/>
                <w:u w:val="none"/>
                <w:lang w:val="en-US" w:eastAsia="zh-CN" w:bidi="ar"/>
              </w:rPr>
              <w:fldChar w:fldCharType="separate"/>
            </w:r>
            <w:r>
              <w:rPr>
                <w:rStyle w:val="95"/>
                <w:rFonts w:hint="eastAsia" w:ascii="黑体" w:hAnsi="黑体" w:eastAsia="黑体" w:cs="黑体"/>
                <w:i w:val="0"/>
                <w:iCs w:val="0"/>
                <w:color w:val="auto"/>
                <w:sz w:val="22"/>
                <w:szCs w:val="22"/>
                <w:u w:val="none"/>
              </w:rPr>
              <w:t>福建省中医药大学附属人民医院</w:t>
            </w:r>
            <w:r>
              <w:rPr>
                <w:rFonts w:hint="eastAsia" w:ascii="黑体" w:hAnsi="黑体" w:eastAsia="黑体" w:cs="黑体"/>
                <w:i w:val="0"/>
                <w:iCs w:val="0"/>
                <w:color w:val="auto"/>
                <w:kern w:val="0"/>
                <w:sz w:val="22"/>
                <w:szCs w:val="2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福建中医药大学附属第二人民医院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中国人民解放军第174医院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莆田市第一医院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中国人民解放军第89医院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济宁第一人民医院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临沂市人民医院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临沂市中医院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中国人民解放军第88医院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中国人民解放军第264医院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阳泉市第一人民医院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忻州市人民医院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中国人民解放军第252医院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中国人民解放军第251医院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中国人民解放军第266医院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天津市南开医院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中国人民解放军第464医院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中国人民解放军第254医院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沈阳第四人民医院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大连第三人民医院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丹东市第一医院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佳木斯市结核病医院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牡丹江第一人民医院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七台河人民医院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中国人民解放军第208医院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中国人民解放军第222医院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中国人民解放军第465医院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荆州第一人民医院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宜昌市第一人民医院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十堰人民医院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黄冈市中心医院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湖北省黄石市中心医院（普爱院区）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荆门市第一人民医院（北院区）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中国人民解放军第169中心医院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湖南中医药高等专科学校附属第一医院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湘潭市妇幼保健院（河东院区）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成都市第一人民医院（南区）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华西妇产儿童医院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中国解放军第452医院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自贡市第四人民医院（檀木林本部院区）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自贡市第五人民医院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攀枝花第三人民医院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达州市第二人民医院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南充市中心医院（总院区）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重庆和平医院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重庆口腔医院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中国人民解放军第323医院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中国人民解放军第451医院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兰州军区兰州总医院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兰州军区总医院（安宁分院）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酒泉市人民医院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武威市中医院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fldChar w:fldCharType="begin"/>
            </w:r>
            <w:r>
              <w:rPr>
                <w:rFonts w:hint="eastAsia" w:ascii="黑体" w:hAnsi="黑体" w:eastAsia="黑体" w:cs="黑体"/>
                <w:i w:val="0"/>
                <w:iCs w:val="0"/>
                <w:color w:val="auto"/>
                <w:kern w:val="0"/>
                <w:sz w:val="22"/>
                <w:szCs w:val="22"/>
                <w:u w:val="none"/>
                <w:lang w:val="en-US" w:eastAsia="zh-CN" w:bidi="ar"/>
              </w:rPr>
              <w:instrText xml:space="preserve"> HYPERLINK "" </w:instrText>
            </w:r>
            <w:r>
              <w:rPr>
                <w:rFonts w:hint="eastAsia" w:ascii="黑体" w:hAnsi="黑体" w:eastAsia="黑体" w:cs="黑体"/>
                <w:i w:val="0"/>
                <w:iCs w:val="0"/>
                <w:color w:val="auto"/>
                <w:kern w:val="0"/>
                <w:sz w:val="22"/>
                <w:szCs w:val="22"/>
                <w:u w:val="none"/>
                <w:lang w:val="en-US" w:eastAsia="zh-CN" w:bidi="ar"/>
              </w:rPr>
              <w:fldChar w:fldCharType="separate"/>
            </w:r>
            <w:r>
              <w:rPr>
                <w:rStyle w:val="95"/>
                <w:rFonts w:hint="eastAsia" w:ascii="黑体" w:hAnsi="黑体" w:eastAsia="黑体" w:cs="黑体"/>
                <w:i w:val="0"/>
                <w:iCs w:val="0"/>
                <w:color w:val="auto"/>
                <w:sz w:val="22"/>
                <w:szCs w:val="22"/>
                <w:u w:val="none"/>
              </w:rPr>
              <w:t>昆明医学院第二附属医院</w:t>
            </w:r>
            <w:r>
              <w:rPr>
                <w:rFonts w:hint="eastAsia" w:ascii="黑体" w:hAnsi="黑体" w:eastAsia="黑体" w:cs="黑体"/>
                <w:i w:val="0"/>
                <w:iCs w:val="0"/>
                <w:color w:val="auto"/>
                <w:kern w:val="0"/>
                <w:sz w:val="22"/>
                <w:szCs w:val="2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fldChar w:fldCharType="begin"/>
            </w:r>
            <w:r>
              <w:rPr>
                <w:rFonts w:hint="eastAsia" w:ascii="黑体" w:hAnsi="黑体" w:eastAsia="黑体" w:cs="黑体"/>
                <w:i w:val="0"/>
                <w:iCs w:val="0"/>
                <w:color w:val="auto"/>
                <w:kern w:val="0"/>
                <w:sz w:val="22"/>
                <w:szCs w:val="22"/>
                <w:u w:val="none"/>
                <w:lang w:val="en-US" w:eastAsia="zh-CN" w:bidi="ar"/>
              </w:rPr>
              <w:instrText xml:space="preserve"> HYPERLINK "" </w:instrText>
            </w:r>
            <w:r>
              <w:rPr>
                <w:rFonts w:hint="eastAsia" w:ascii="黑体" w:hAnsi="黑体" w:eastAsia="黑体" w:cs="黑体"/>
                <w:i w:val="0"/>
                <w:iCs w:val="0"/>
                <w:color w:val="auto"/>
                <w:kern w:val="0"/>
                <w:sz w:val="22"/>
                <w:szCs w:val="22"/>
                <w:u w:val="none"/>
                <w:lang w:val="en-US" w:eastAsia="zh-CN" w:bidi="ar"/>
              </w:rPr>
              <w:fldChar w:fldCharType="separate"/>
            </w:r>
            <w:r>
              <w:rPr>
                <w:rStyle w:val="95"/>
                <w:rFonts w:hint="eastAsia" w:ascii="黑体" w:hAnsi="黑体" w:eastAsia="黑体" w:cs="黑体"/>
                <w:i w:val="0"/>
                <w:iCs w:val="0"/>
                <w:color w:val="auto"/>
                <w:sz w:val="22"/>
                <w:szCs w:val="22"/>
                <w:u w:val="none"/>
              </w:rPr>
              <w:t>中国人民解放军第59医院</w:t>
            </w:r>
            <w:r>
              <w:rPr>
                <w:rFonts w:hint="eastAsia" w:ascii="黑体" w:hAnsi="黑体" w:eastAsia="黑体" w:cs="黑体"/>
                <w:i w:val="0"/>
                <w:iCs w:val="0"/>
                <w:color w:val="auto"/>
                <w:kern w:val="0"/>
                <w:sz w:val="22"/>
                <w:szCs w:val="2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fldChar w:fldCharType="begin"/>
            </w:r>
            <w:r>
              <w:rPr>
                <w:rFonts w:hint="eastAsia" w:ascii="黑体" w:hAnsi="黑体" w:eastAsia="黑体" w:cs="黑体"/>
                <w:i w:val="0"/>
                <w:iCs w:val="0"/>
                <w:color w:val="auto"/>
                <w:kern w:val="0"/>
                <w:sz w:val="22"/>
                <w:szCs w:val="22"/>
                <w:u w:val="none"/>
                <w:lang w:val="en-US" w:eastAsia="zh-CN" w:bidi="ar"/>
              </w:rPr>
              <w:instrText xml:space="preserve"> HYPERLINK "" </w:instrText>
            </w:r>
            <w:r>
              <w:rPr>
                <w:rFonts w:hint="eastAsia" w:ascii="黑体" w:hAnsi="黑体" w:eastAsia="黑体" w:cs="黑体"/>
                <w:i w:val="0"/>
                <w:iCs w:val="0"/>
                <w:color w:val="auto"/>
                <w:kern w:val="0"/>
                <w:sz w:val="22"/>
                <w:szCs w:val="22"/>
                <w:u w:val="none"/>
                <w:lang w:val="en-US" w:eastAsia="zh-CN" w:bidi="ar"/>
              </w:rPr>
              <w:fldChar w:fldCharType="separate"/>
            </w:r>
            <w:r>
              <w:rPr>
                <w:rStyle w:val="95"/>
                <w:rFonts w:hint="eastAsia" w:ascii="黑体" w:hAnsi="黑体" w:eastAsia="黑体" w:cs="黑体"/>
                <w:i w:val="0"/>
                <w:iCs w:val="0"/>
                <w:color w:val="auto"/>
                <w:sz w:val="22"/>
                <w:szCs w:val="22"/>
                <w:u w:val="none"/>
              </w:rPr>
              <w:t>玉溪市人民医院</w:t>
            </w:r>
            <w:r>
              <w:rPr>
                <w:rFonts w:hint="eastAsia" w:ascii="黑体" w:hAnsi="黑体" w:eastAsia="黑体" w:cs="黑体"/>
                <w:i w:val="0"/>
                <w:iCs w:val="0"/>
                <w:color w:val="auto"/>
                <w:kern w:val="0"/>
                <w:sz w:val="22"/>
                <w:szCs w:val="22"/>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新疆医科大学附属肿瘤医院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中国人民解放军兰州军区乌鲁木齐总医院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中国人民解放军第474医院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中国人民解放军第253医院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赤峰市人民医院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包头市中心医院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中国人民解放军一八七中心医院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中国人民解放军第44医院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青海省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中国人民解放军第4医院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青海省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青海省第三人民医院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中国人民解放军西藏军区总医院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上海市崇明县庙镇人民医院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上海市崇明县堡镇人民医院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中国人民解放军一九一医院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中国人民解放军一五八医院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灵山县人民医院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浦北县人民医院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靖西县人民医院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田阳县人民医院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贵港市第二人民医院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博白县人民医院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平南县第二人民医院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平南县人民医院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桂平市人民医院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贺州市人民医院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岑溪市人民医院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蒙山县人民医院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梧州市第二人民医院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灌阳县人民医院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资源县人民医院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桂林市第六人民医院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桂林市第九人民医院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合山市人民医院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龙州县人民医院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南宁市第八人民医院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南宁市第七人民医院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中国人民解放军一八八医院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揭东县人民医院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揭西县人民医院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惠来县人民医院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揭阳市榕城区人民医院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阳春市人民医院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阳江市江城区人民医院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阳江市第三人民医院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陆丰市人民医院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东莞市太平人民医院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东莞市石龙人民医院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饶平县人民医院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新兴县人民医院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郁南县人民医院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云浮市人民医院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罗定市人民医院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清新县人民医院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连山县人民医院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连南县人民医院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阳山县人民医院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佛冈县人民医院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英德市人民医院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连州市人民医院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清远市清城区人民医院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和平县人民医院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紫金县人民医院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龙川县人民医院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吴川市人民医院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徐闻县人民医院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遂溪县人民医院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廉江市人民医院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雷州市人民医院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怀集县人民医院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封开县人民医院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德庆县人民医院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广宁县人民医院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四会市人民医院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高要市人民医院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肇庆市鼎湖区人民医院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肇庆市第二人民医院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蕉岭县人民医院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平远县人民医院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大埔县人民医院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丰顺县人民医院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五华县人民医院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兴宁市人民医院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梅州市中医医院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梅州市第三人民医院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惠州市第二人民医院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乳源县人民医院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仁化县人民医院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始兴县人民医院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翁源县人民医院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南雄市人民医院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乐昌市人民医院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韶关市曲江区人民医院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韶关市粤北第三人民医院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开平市第一人民医院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鹤山市人民医院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恩平市人民医院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台山市人民医院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江门市新会区人民医院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江门市第三人民医院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江门市人民医院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中国人民解放军第五三五医院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祁阳县人民医院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宁远县人民医院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蓝山县人民医院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江华瑶族自治县第一人民医院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江华瑶族自治县人民医院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江永县人民医院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道县人民医院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芷江县人民医院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沅陵县人民医院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辰溪县人民医院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新晃县人民医院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洪江市人民医院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靖州县人民医院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怀化医专附属医院怀化市第三人民医院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怀化市第二人民医院（鹤城院区）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桑植县人民医院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慈利县人民医院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张家界市第二人民医院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凤凰县人民医院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保靖县人民医院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花垣县人民医院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古丈县人民医院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吉首市人民医院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隆回县中医医院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隆回县人民医院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邵东县人民医院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洞口县人民医院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益阳市第三人民医院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澧县人民医院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安乡县第三人民医院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安乡县人民医院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津市市人民医院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临澧县人民医院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常德市第六人民医院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常德市第五人民医院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常德市第四人民医院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常德市第三人民医院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常德市第一人民医院德山分院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宜章县人民医院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临武县人民医院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嘉禾县人民医院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安仁县人民医院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桂阳县第一人民医院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永兴县人民医院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郴州市第六人民医院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郴州市第四人民医院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湖南师范大学附属湘东医院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攸县人民医院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茶陵县人民医院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炎陵县人民医院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株洲县第一人民医院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株洲市人民医院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株洲市中医伤科医院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株洲市第四人民医院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湘乡市第二人民医院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湘潭县人民医院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湘潭市第五人民医院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湘潭市第四人民医院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湘潭市第三人民医院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湘潭市第一人民医院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临湘市中医院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临湘市人民医院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华容县人民医院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平江县人民医院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汨罗市人民医院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岳阳市妇幼保健院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岳阳市中医院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岳阳市第二人民医院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武冈市人民医院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涟源市人民医院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冷水江市人民医院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双峰县中医院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安化县人民医院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沅江市人民医院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桃江县人民医院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中国人民解放军总后襄樊军工医院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中国人民解放军四七七医院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中国人民解放军一九五医院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钟祥市人民医院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京山县人民医院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荆门市沙洋人民医院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荆门市第三人民医院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荆门市第二人民医院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建始县人民医院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巴东县人民医院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宣恩县人民医院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来凤县人民医院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利川市人民医院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恩施州人民医院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远安县人民医院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当阳市人民医院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枝城市第一人民医院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秭归县人民医院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宜都市第二人民医院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宜昌市夷陵区人民医院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宜昌市第五人民医院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宜昌市第三人民医院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监利县人民医院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江陵县人民医院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荆州市妇幼保健院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荆州市第五人民医院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荆州市第三人民医院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荆州市第二人民医院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荆州市第一人民医院慈济分院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石首市人民医院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洪湖市第一人民医院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通山县人民医院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崇阳县人民医院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通城县人民医院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蒲圻市人民医院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嘉鱼县人民医院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赤壁市人民医院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咸宁市第一人民医院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大冶市人民医院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团风县人民医院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武穴市第二人民医院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武穴市第一人民医院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黄梅县人民医院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黄冈市第二人民医院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蕲春县人民医院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英山县人民医院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罗田县人民医院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浠水县人民医院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红安县人民医院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麻城市人民医院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大悟县人民医院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湖北省人民医院分院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渑池县人民医院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驻马店中心人民医院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临颖县人民医院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漯河市第三人民医院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鹿邑县人民医院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太康县人民医院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商水县人民医院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沈丘县人民医院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项城市第一人民医院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周口市中医院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周口市第二人民医院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武陟县人民医院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邓州市中心医院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南阳市第一人民医院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潢川县人民医院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安阳钢铁集团公司职工总医院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夏邑县人民医院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中国人民解放军四Ｏ四医院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枣庄市山亭区中心人民医院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枣庄市台儿庄区人民医院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枣庄市峄城区人民医院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枣庄市市中区人民医院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荣成市第二人民医院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威海市人民医院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利津县第二人民医院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垦利县人民医院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东营市河口区人民医院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东营市东营区人民医院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东营市人民医院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阳信县人民医院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无棣县人民医院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邹平县人民医院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博兴县人民医院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惠民县人民医院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平邑县人民医院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费县人民医院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临沭县人民医院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莒南县人民医院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沂南县人民医院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苍山县人民医院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沂水县人民医院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临沂市罗庄区人民医院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临沂市兰山区第一人民医院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临沂市人民医院（北城新区医院）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淄博市临淄区人民医院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淄博市第八人民医院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平度市第二人民医院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青岛市第四人民医院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曹县人民医院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成武县人民医院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定陶县人民医院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巨野县人民医院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郓城县人民医院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菏泽市牡丹区第二人民医院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菏泽市牡丹人民医院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菏泽市第三人民医院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菏泽市第二人民医院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乐平市人民医院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景德镇市第四人民医院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南康市第一人民医院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新干县人民医院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吉水县人民医院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泰和县人民医院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安福县人民医院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万安县人民医院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峡江县人民医院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吉安市第二人民医院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铜鼓县人民医院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宜丰县人民医院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上高县人民医院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樟树市人民医院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奉新县人民医院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靖安县人民医院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高安市人民医院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宜春市第七人民医院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宜春市第三人民医院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宜春市第二人民医院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万载县人民医院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丰城市人民医院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东乡县人民医院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金溪县人民医院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崇仁县人民医院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宜黄县人民医院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乐安县人民医院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黎川县人民医院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抚州市临川区人民医院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抚州市第三人民医院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婺源县人民医院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铅山县人民医院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德兴市人民医院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波阳县人民医院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弋阳县人民医院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玉山县人民医院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万年县人民医院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余干县人民医院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横峰县人民医院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上饶县人民医院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九江市庐山区人民医院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余江县人民医院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贵溪市人民医院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开化县人民医院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龙游县人民医院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江山市人民医院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舟山市普陀区人民医院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庆元县人民医院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松阳县人民医院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龙泉市人民医院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临海市第一人民医院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玉环县人民医院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温岭市第三人民医院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温岭市第二人民医院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台州市黄岩区第一人民医院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德清县人民医院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长兴县人民医院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富阳市第二人民医院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浙江大学医学院附属第一医院（城站院区）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靖江市人民医院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姜堰市人民医院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兴化市第三人民医院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兴化市人民医院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泰兴市第二人民医院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泰州市第四人民医院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金坛市人民医院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常州市武进人民医院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常州市第六人民医院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常州市第四人民医院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涟水县人民医院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盱眙县人民医院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金湖县人民医院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洪泽县人民医院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淮安市第四人民医院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徐州市第六人民医院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扬州市第四人民医院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丹阳市第二人民医院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中国人民武装警察部队上海总队医院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上海市青浦区朱家角人民医院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上海市嘉定区中心医院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中国人民解放军第二二四医院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集贤县第一人民医院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密山市人民医院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铁力市人民医院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五大连池市人民医院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黑河市第一人民医院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肇东市人民医院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绥化市人民医院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牡丹江市第五人民医院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中国人民解放军第三二一医院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中国人民解放军第二Ｏ六医院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中国人民解放军第5704厂职工医院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辉南县人民医院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松原市人民医院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东辽县人民医院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大安市第一人民医院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白城市医院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伊通满族自治县人民医院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公主岭市人民医院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梨树县第一人民医院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双辽市第一人民医院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和龙市人民医院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中国人民解放军一五三医院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中国人民解放军第二Ｏ五医院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大洼县第一人民医院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凌源市第一人民医院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喀左县第一人民医院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辽阳县第一人民医院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辽阳市第三人民医院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辽阳市第二人民医院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阜新县人民医院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阜新市第五人民医院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阜新市第二人民医院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营口市第二人民医院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凌海市人民医院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北宁市人民医院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凤城市第一人民医院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本溪县第三人民医院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本溪市第一人民医院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鞍山市长大医院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开原市第一人民医院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昌图县第一人民医院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铁岭县第一人民医院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中国人民解放军第二二Ｏ医院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中国人民解放军第二九一医院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乌兰浩特市人民医院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赤峰学院附属医院(红山院区)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通辽市科尔沁区第一人民医院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奈曼旗人民医院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呼伦贝尔盟第二人民医院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呼伦贝尔市海拉尔区第一人民医院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中国人民解放军五四一总医院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中国人民解放军二八九医院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中国人民解放军第二八二医院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孝义市人民医院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柳林县人民医院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临汾市尧都区第一人民医院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晋城市第二人民医院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长治市第二人民医院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晋中市第二人民医院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寿阳县人民医院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和顺县人民医院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原平市第一人民医院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右玉县人民医院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山阴县人民医院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朔州市朔城区人民医院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盂县人民医院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平定县人民医院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中国人民武装警察部队海南省总队医院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乐东县人民医院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陵水县人民医院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昌江县人民医院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临高县人民医院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东方市人民医院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儋州市第一人民医院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万宁市人民医院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屯昌县人民医院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文昌市人民医院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定安县人民医院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澄迈县人民医院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中国人民解放军空军水上村医院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中国人民解放军第二七二医院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中国人民解放军第二七一医院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蓟县人民医院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中国人民解放军二五六医院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抚宁县人民医院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秦皇岛海港区人民医院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内丘市人民医院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中国人民解放军第二七三医院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新疆伊犁新源县人民医院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叶城县人民医院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新疆喀什泽普县人民医院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新疆喀什莎车县人民医院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喀什地区第二人民医院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喀什地区第一人民医院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温宿县人民医院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阿克苏拜城县人民医院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阿克苏市人民医院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阿克苏地区第一人民医院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库尔勒市人民医院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巴州人民医院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新疆尉犁县人民医院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焉耆县人民医院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呼图壁县人民医院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昌吉州人民医院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米泉市人民医院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奇台县人民医院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石河子人民医院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沙湾县人民医院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克拉玛依市人民医院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精河县人民医院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新疆和田地区人民医院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哈密地区第二人民医院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新疆塔城地区人民医院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乌鲁木齐县人民医院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宁夏回族自治区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隆德县人民医院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宁夏回族自治区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石嘴山市第二人民医院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宁夏回族自治区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银川市第三人民医院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青海省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海西自治州人民医院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青海省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玉树藏族自治州人民医院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青海省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乐都县人民医院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青海省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大通县第一人民医院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青海省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西宁市第二人民医院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青海省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青海省第五人民医院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中国人民解放军第五七Ｏ二工厂职工医院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中国人民解放军第五三八医院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西乡县人民医院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汉中市人民医院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安康市第一人民医院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韩城市人民医院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府谷县人民医院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临潼县人民医院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中国人民解放军第五十一医院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中国人民武警部队西藏总队医院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中国人民解放军第六十二医院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中国人民解放军第六十七中心医院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普洱县人民医院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澜沧县第一人民医院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景东县人民医院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双柏县人民医院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大姚县人民医院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通海县人民医院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腾冲县人民医院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龙陵县人民医院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建水县人民医院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大理市第一人民医院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镇雄县人民医院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兴仁县人民医院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六盘水市第二人民医院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大方县人民医院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江口县人民医院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德江县人民医院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沿河土家族自治县人民医院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黔东南州人民医院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贵阳市云岩区人民医院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中国人民解放军第三十七中心医院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中国人民解放军第五二Ｏ医院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剑阁县人民医院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苍溪县第二人民医院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广元市元坝区人民医院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广元市朝天区人民医院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广元市市中区第二人民医院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广元市第九人民医院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广元市第一人民医院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中江县人民医院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绵竹市人民医院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什邡市第二人民医院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什邡市人民医院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德阳市第二人民医院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茂县人民医院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阿坝州人民医院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甘孜州人民医院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西昌市人民医院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凉山州第二人民医院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眉山市中医医院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眉山市第二人民医院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乐山市第四人民医院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仁寿县人民医院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乐山市中医院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资中县人民医院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资阳市第三人民医院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威远县人民医院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隆昌县人民医院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乐至县人民医院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内江市第六人民医院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内江市第三人民医院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平昌县人民医院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巴中市第二人民医院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射洪县人民医院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宣汉县人民医院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开江县人民医院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万源市中心医院（秦川院区）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大竹县人民医院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渠县人民医院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南部县人民医院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阆中市人民医院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营山县人民医院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蓬安县中医院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蓬安县人民医院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平武县人民医院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江油市人民医院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三台县人民医院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绵阳市第二人民医院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绵阳市人民医院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富顺县人民医院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自贡市荣县人民医院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自贡市第三人民医院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攀枝花市第二人民医院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成都市第五人民医院（北区）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重庆市巴南区人民医院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重庆南川市人民医院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重庆医科大学附属第一医院（城口县医院）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重庆开县人民医院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重庆荣昌县人民医院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重庆合川市人民医院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重庆江津市人民医院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重庆綦江县人民医院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重庆市南岸区第一人民医院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重庆市九龙坡区第三人民医院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白银市第二人民医院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宕昌县人民医院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张家川第一人民医院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天水市第二人民医院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金塔县人民医院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嘉峪关市人民医院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高台县人民医院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民乐县人民医院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临泽县人民医院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永昌县人民医院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静宁县人民医院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泾川县人民医院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灵台县人民医院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庄浪县人民医院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平凉市第二人民医院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临洮县人民医院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龙岩市第二医院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龙岩市人民医院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仙游县医院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中国人民解放军海军安庆医院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池州市第二人民医院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无为县人民医院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含山县人民医院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巢湖市第二人民医院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舒城县人民医院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霍邱县第二人民医院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霍邱县第一人民医院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霍山县第二人民医院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六安市人民医院第二分院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六安市第四人民医院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六安市第三人民医院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六安市第二人民医院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六安市人民医院东院区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宁国市人民医院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宣城市第二人民医院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铜陵市第三人民医院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淮北市中医院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祁门县人民医院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黟县人民医院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黄山市第三人民医院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砀山县人民医院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宿州市第二人民医院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宿州市第一人民医院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安庆市郊区人民医院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安庆市第三人民医院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安庆市第二人民医院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马鞍山市第二人民医院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皖南医学院第二附属医院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天长市人民医院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明光市人民医院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滁州市第二人民医院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中国人民解放军六六0五五医院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中国人民解放军六六四00部队医院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中国人民解放军五一一一六医院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中国人民解放军五一一一二医院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中国人民解放军三一六医院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中国人民解放军第二六三医院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北京水利医院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北京市海淀医院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北京市崇文区第一人民医院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南丹县人民医院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大化县人民医院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凤山县人民医院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平果县人民医院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田东县人民医院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陆川县人民医院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藤县人民医院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钟山县人民医院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荔浦县人民医院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平乐县人民医院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灵川县人民医院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三江县人民医院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柳江县人民医院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金秀县人民医院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武宣县人民医院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宾阳县人民医院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南宁市邕宁区人民医院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连平县中信人民医院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连平县第二人民医院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封开县第二人民医院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肇庆华佗医院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肇庆市第三人民医院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通道县第一人民医院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龙山县人民医院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汝城县人民医院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湘阴县人民医院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华容县中医院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邵阳市第二人民医院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天门市第三人民医院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天门市第二人民医院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咸丰县人民医院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五峰县人民医院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监利县第三人民医院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公安县二人民医院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松滋市第二人民医院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荆州市荆州区第二人民医院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麻城市第二人民医院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灵宝市人民医院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三门峡市第三人民医院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淮阳县人民医院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莱芜市第二人民医院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枣庄市山亭区人民医院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枣庄市薛城区人民医院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沾化县人民医院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滨州市第二人民医院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淄博市张店区人民医院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单县第一人民医院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鄄城县人民医院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井冈山市人民医院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资溪县人民医院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广昌县人民医院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上饶市信州区第二人民医院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开化县第二人民医院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嵊泗县人民医院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景宁县人民医院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遂昌县人民医院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缙云县人民医院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三门县人民医院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仙居县人民医院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玉环县第二人民医院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安吉县第三人民医院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杭州市萧山区第六人民医院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上海市奉贤区奉城人民医院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抚远县人民医院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鹤岗市兴山人民医院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大庆市龙凤区人民医院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大庆市红岗人民医院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北安市第二人民医院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林口县人民医院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海林市人民医院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通化县人民医院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四平市铁西区人民医院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延边州第二人民医院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彰武县人民医院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盖州市第二人民医院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清原县人民医院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东乌珠穆沁旗人民医院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鄂尔多斯市东胜区人民医院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根河市人民医院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土默特左旗人民医院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陵川县人民医院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阳城县人民医院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潞城市人民医院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沁源县人民医院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襄垣县人民医院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长治县人民医院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榆社县人民医院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太谷县人民医院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平遥县人民医院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灵石县人民医院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介休市人民医院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繁峙县第一人民医院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忻州市中心医院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阳泉市第二人民医院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海南省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白沙县人民医院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阿克苏新和县人民医院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墨玉县人民医院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青海省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天峻县人民医院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青海省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都兰县人民医院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青海省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乌兰县人民医院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青海省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贵南县人民医院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青海省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尖扎县人民医院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临沧县人民医院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牟定县人民医院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武定县人民医院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元谋县人民医院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永仁县人民医院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姚安县人民医院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楚雄市人民医院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祥云县人民医院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云南省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大理市第二人民医院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盘县特区人民医院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六盘水市六枝特区人民医院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赫章县人民医院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黔西县人民医院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威宁县人民医院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纳雍县人民医院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松桃县人民医院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石阡县人民医院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印江县人民医院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丹寨县人民医院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黄平县人民医院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镇远县人民医院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三穗县人民医院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锦屏县人民医院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凯里市第一人民医院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福泉市第二人民医院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普定县人民医院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紫云县人民医院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安顺市第二人民医院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安顺市第一人民医院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清镇市人民医院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旺苍县人民医院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青川县人民医院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广元市市中区人民医院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广汉市第三人民医院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德阳市旌阳区人民医院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德阳市第六人民医院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德阳市第五人民医院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泸定县人民医院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九龙县人民医院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色达县人民医院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汉源县人民医院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峨眉山市中医医院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井研县人民医院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洪雅县人民医院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彭山县人民医院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青神县人民医院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丹棱县人民医院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马边彝族自治县人民医院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犍为县人民医院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夹江县中医院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夹江县人民医院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乐山市沙湾区人民医院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乐山市五通桥区人民医院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内江市第四人民医院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南溪县人民医院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长宁县人民医院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珙县人民医院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筠连县人民医院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宜宾县人民医院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宜宾市妇幼保健院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平昌县中医院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通江县人民医院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岳池县人民医院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华蓥市人民医院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邻水县人民医院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蓬溪县人民医院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遂宁市安居区人民医院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达州市通川区中医院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西充县人民医院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仪陇县人民医院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南充市高坪区人民医院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南充市第三人民医院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自贡市沿滩区人民医院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米易县人民医院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盐边县人民医院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攀枝花市仁和区人民医院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攀枝花第四人民医院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重庆南川市第二人民医院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丰都县人民医院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重庆铜梁县人民医院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重庆大足县人民医院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重庆壁山县人民医院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重庆潼南县人民医院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重庆江津市第二人民医院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重庆永川市人民医院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重庆市长寿区中医院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重庆市南岸区第二人民医院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重庆市巴南区中医院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厦门市思明区人民医院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六安市第五人民医院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眉山市人民医院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遵义市第一人民医院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自贡市中医医院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万州区妇幼保健院（百安分院）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湖南南县人民医院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韶关市第一人民医院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韶关市粤北人民医院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溆浦县中医院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麻阳苗族自治县人民医院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岳阳县人民医院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岳阳县中医院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岳阳市湘岳医院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汨罗市中医院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湘雅常德医院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汉寿县中医院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张家界市中医院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渭南市妇幼保健院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黄冈市中医医院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华中科技大学同济黄州医院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阜外华中心血管病医院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上海交通大学附属第一人民医院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新邵县人民医院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新化县人民医院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城步苗族自治县人民医院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邵阳市中西医结合医院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安岳县中医医院（正北街院区）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成都市骨科医院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赤峰学院附属医院(新城院区)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东莞市凤岗镇人民医院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广安市人民医院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广州中医药大学深圳医院(福田)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河南中医药大学第一附属医院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荆州市中心医院（荆北院区)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湖北省武汉市金银潭医院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江阴市人民医院（敔山湾院区）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南昌市第三医院（朝阳院区）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四川省中医药科学院附属医院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溆浦县人民医院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盐亭县肿瘤医院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益阳市中心医院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陆军军医大学第一附属医院（958分院区）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重庆市永川区中医院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株洲市直中医院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自贡市第四人民医院（汇东院区）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广州中医药大学深圳附属医院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赤峰学院附属医院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四川省自贡市荣县人民医院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安钢职工总医院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成都市妇女儿童中心医院（实业街院区）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西安市结核病胸部肿瘤医院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四川省人民医院东院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重庆医科大学第二附属医院（渝中院区）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遂宁市中心医院（含河东分院、含遂宁市传染病医院）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湖南省邵阳市新邵县正骨医院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川北医学院附属医院（新院区）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吉林省吉林中西医结合医院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重庆市铜梁中医院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凉山彝族自治州中西医结合医院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重庆医科大学附属第二医院(江南院区)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4999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青岛大学附属医院（西海岸医疗中心）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青岛大学附属医院（市北院区）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青岛大学附属医院（东院区/崂山院区）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山东大学齐鲁医院（济南东）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山东大学齐鲁医院（青岛院区）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盘锦市人民医院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四川大学华西医院（温江院区）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山东省立第三医院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天津市天津医院（河西院区）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天津市天津医院（和平院区）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郑州市第一人民医院（港区医院）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中国人民解放军联勤保障部队第九八〇医院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邵阳市第一人民医院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重庆市铜梁区中医院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华中科技大学同济医学院附属同济医院（光谷院区）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华中科技大学同济医学院附属同济医院（中法新城院区）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奉节县中医院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四川省内江市第二人民医院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四川省乐山市武警医院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遂宁市中医院（天峰街院区）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睢阳区中心医院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陕西省西安市空军986医院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遂宁市第一人民医院（油房街院区）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武汉市汉阳医院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郑州大学第一附属医院（郑东院区）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东莞市中堂人民医院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郑州大学第一附属医院（惠济院区）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遂宁市第一人民医院（南津路院区）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遂宁市第一人民医院（河东院区）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遂宁市第一人民医院（高新院区）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遂宁市第一人民医院（富源路院区）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遂宁市中医院（和平路院区）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遂宁市中医院（步行街院区）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南方医科大学顺德医院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随州市中心医院（龙门院区）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随州市中心医院（文帝院区）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随州市中心医院（季梁院区）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中国医学科学院血液病医院（华苑院区）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武汉市中心医院（后湖院区）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武汉市中心医院（谌家矶院区）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青岛市中医医院（南院区）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宜宾市中医医院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重庆医科大学附属儿童医院（两江院区/礼嘉院区）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泰州市第二人民医院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泸州市纳溪区第二人民医院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西华县中医院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山东省济宁市第一人民医院（东院区）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山东省济宁市第一人民医院（西院区）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南京市浦口医院（京新园区）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南京市浦口医院（南苑院区）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西南医科大学附属成都三六三医院（犀浦院区）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福建医科大学附属第二医院（东海院区）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浙江大学医学院附属第二医院（滨江院区）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浙江大学医学院附属第二医院（江干院区）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湘潭市第二人民医院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河南科技大学第一附属医院（开元院区）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复旦大学附属眼耳鼻喉科医院（宝庆院区）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复旦大学附属眼耳鼻喉科医院（浦江院区）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南充市中心医院（嘉陵院区）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南充市中心医院（江东院区）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南充市中心医院（小龙院区）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郸城中医院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安钢总医院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岳阳市第一人民医院（东院区）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岳阳市第一人民医院（南院区）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重庆市人民医院（中山院区）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郑州儿童医院（西院区）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郑州儿童医院（南院区）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东莞市人民医院（普济院区）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宜宾市第二中医医院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五原县人民医院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吉林大学中日联谊医院（新民院区）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吉林大学中日联谊医院（南湖院区）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吉林大学中日联谊医院（北湖院区）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遂宁市第三人民医院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达州市中西医结合医院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中国人民解放军联勤保障部队第九九一医院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四川省中西医结合医院（北区院区）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天津市肿瘤医院空港医院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铜梁县中医院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重庆医科大学第二附属医院（江南院区）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河南省中医院（高新区院区）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河南省中医院（迎宾路院区）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达州市达川区人民医院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吉林省肿瘤医院（高新院区）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宜宾市第六人民医院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聊城市人民医院（东昌府院区）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宝鸡市第二中医医院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重庆市涪陵区中心医院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新疆维吾尔自治区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吉木乃县人民医院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四川绵阳四0四医院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中山市人民医院南朗分院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南平市建阳区第一医院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南昌大学第一附属医院（象湖院区）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南京市第二医院（汤山院区）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深圳平乐骨伤科医院（坪山院区）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湘潭市妇幼保健院（河西院区）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许昌市建安区人民医院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安康市中医医院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安岳县中医医院（北坝院区）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成都市妇女儿童中心医院（太升路院区）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成都市妇女儿童中心医院（东城根院区）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广西壮族自治区人民医院（邕武院区）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广西壮族自治区人民医院（东院区）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福建省泉州市第一医院（城东院区）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四川省巴中市中心医院（南坝院区）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绵阳市安州区人民医院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内蒙古包钢医院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科尔沁右翼前旗人民医院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乐山市妇女儿童医院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重庆市长寿区第三人民医院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四川江油市九〇三医院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玉林市中西医结合骨科医院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汉中市铁路中心医院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成都市西部战区总医院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南阳医学高等专科学校第二附属医院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大竹县中医院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黄石市妇幼保健院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重庆大学附属三峡医院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成都体育学院附属体育医院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米易县中医医院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单县中心医院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章丘区人民医院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中国人民解放军中部战区总医院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山西省煤炭中心医院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中国人民解放军南部战区总医院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三峡大学附属仁和医院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江门市新会区第二人民医院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中国医学科学院阜外深圳医院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楚雄彝族自治州中医医院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中国人民解放军总医院第四医学中心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邹平市人民医院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华中科技大学同济医学院附属协和医院（西院区）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崇阳县中医院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荆门市第一人民医院（南院区）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重庆市永川区儿童医院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烟台市烟台山医院（北院区）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烟台市烟台山医院（东院区）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山西省肿瘤医院（南院区）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黄骅市骨科医院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青岛大学附属医院（平度院区）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株洲市二医院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民航上海医院（瑞金古北分院）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浙江大学医学院附属第一医院（之江院区）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浙江大学医学院附属第一医院（总院区）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湖北省中医院（葛店院区）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成都现代医院（高新院区）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宁波市第二医院（北院区）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华中科技大学同济赤壁医院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苏州大学附属第二医院（浒关院区）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安徽省妇幼保健院（西院区）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安徽省妇幼保健院（东院区）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榆林市第二医院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陕西省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通用医疗三二〇一医院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四川现代医院（武侯院区）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四川现代医院（高新院区）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中国科学院大学深圳医院（东院区）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中国科学院大学深圳医院（西院区）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南方医科大学南方医院（增城院区）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南方医科大学南方医院（知识城院区）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南方医科大学南方医院（白云院区）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鹤壁市第二人民医院（山城院区）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鹤壁市第二人民医院（福田院区）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鹤壁市第二人民医院（淇滨院区）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河北医科大学第四医院（东院区）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北京清华长庚医院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怀化市第二人民医院（靖州院区）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怀化市第二人民医院（洪江院区）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黔西南州人民医院（桔山院区）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重庆医科大学附属第一医院（第一分院）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重庆市大足区人民医院（老院区）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复旦大学附属肿瘤医院（东院区）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中国人民解放军联勤保障部队第九六〇医院（总院区）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重庆医科大学附属第一医院（潼南区医院）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甘肃省武威肿瘤医院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黑龙江中医药大学附属第二医院（哈南分院）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东莞市滨海湾中心医院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成都市第二人民医院（龙潭院区）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成都市第二人民医院（草市分部）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深圳市坪山区人民医院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湘南学院附属医院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河北医科大学第三医院（友谊院区）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河北医科大学第三医院（湘江院区）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山西白求恩医院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中国人民解放军北部战区总医院（和平院区）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湖南医药学院第一附属医院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钦州市第一人民医院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乐山市市中区人民医院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鄂东医疗集团市中医医院（钟楼院区）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鄂东医疗集团市中医医院（团城山院区）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无锡市惠山区中医医院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内蒙古自治区国际蒙医医院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宁乡市人民医院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广州中医药大学第三附属医院（海珠院区）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苏州大学附属独墅湖医院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贵州省兴义市人民医院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国药同煤总医院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辽宁省健康产业集团本钢总医院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广西中医药大学第一附属医院（仙葫院区）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吉林省脑科医院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长治市人民医院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长治市妇幼保健院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岳阳市中心医院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青岛市妇女儿童医院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阳泉煤业集团总医院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湖南中医药大学第二附属医院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青海省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西宁市第一人民医院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江苏省泰州市人民医院（北院区）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江苏省泰州市人民医院（新院区）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青海省妇女儿童医院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长治市第三人民医院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中国医科大学附属盛京医院（滑翔院区）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辽宁省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中国医科大学附属盛京医院（沈北院区）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广州中医药大学金沙洲医院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遵义医科大学第五附属（珠海）医院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北京大学肿瘤医院（西院区）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北京南郊肿瘤医院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北京燕化医院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滨州市人民医院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中山大学附属第七医院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吉林省白城中心医院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石家庄市人民医院（范西路院区）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石家庄市区人民医院（建华院区）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广西壮族自治区妇幼保健院（新阳院区）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广西壮族自治区妇幼保健院（厢竹院区）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甘肃省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渭源县人民医院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贵阳市公共卫生救治中心（花果园院区）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贵州省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贵阳市公共卫生救治中心（大水沟院区）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上海交通大学医学院附属第九人民医院（北院区）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漯河市骨科医院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杭州市富阳区中医院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5230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2"/>
                <w:szCs w:val="22"/>
                <w:u w:val="none"/>
              </w:rPr>
            </w:pPr>
            <w:r>
              <w:rPr>
                <w:rFonts w:hint="eastAsia" w:ascii="黑体" w:hAnsi="黑体" w:eastAsia="黑体" w:cs="黑体"/>
                <w:i w:val="0"/>
                <w:iCs w:val="0"/>
                <w:color w:val="auto"/>
                <w:kern w:val="0"/>
                <w:sz w:val="22"/>
                <w:szCs w:val="22"/>
                <w:u w:val="none"/>
                <w:lang w:val="en-US" w:eastAsia="zh-CN" w:bidi="ar"/>
              </w:rPr>
              <w:t>中国人民解放军联勤保障部队第九〇八医院</w:t>
            </w:r>
          </w:p>
        </w:tc>
      </w:tr>
    </w:tbl>
    <w:p>
      <w:pPr>
        <w:rPr>
          <w:rFonts w:hint="eastAsia" w:ascii="黑体" w:hAnsi="黑体" w:eastAsia="黑体"/>
          <w:b/>
          <w:kern w:val="0"/>
          <w:sz w:val="32"/>
          <w:szCs w:val="28"/>
          <w:lang w:eastAsia="zh-CN"/>
        </w:rPr>
      </w:pPr>
      <w:r>
        <w:rPr>
          <w:rFonts w:hint="eastAsia" w:ascii="黑体" w:hAnsi="黑体" w:eastAsia="黑体"/>
          <w:b/>
          <w:kern w:val="0"/>
          <w:sz w:val="32"/>
          <w:szCs w:val="28"/>
          <w:lang w:eastAsia="zh-CN"/>
        </w:rPr>
        <w:br w:type="page"/>
      </w:r>
    </w:p>
    <w:p>
      <w:pPr>
        <w:spacing w:line="360" w:lineRule="auto"/>
        <w:rPr>
          <w:rFonts w:hint="eastAsia" w:ascii="黑体" w:hAnsi="黑体" w:eastAsia="黑体"/>
          <w:b/>
          <w:kern w:val="0"/>
          <w:sz w:val="32"/>
          <w:szCs w:val="28"/>
          <w:lang w:eastAsia="zh-CN"/>
        </w:rPr>
      </w:pPr>
      <w:r>
        <w:rPr>
          <w:rFonts w:hint="eastAsia" w:ascii="黑体" w:hAnsi="黑体" w:eastAsia="黑体"/>
          <w:b/>
          <w:kern w:val="0"/>
          <w:sz w:val="32"/>
          <w:szCs w:val="28"/>
          <w:lang w:eastAsia="zh-CN"/>
        </w:rPr>
        <w:t>附件</w:t>
      </w:r>
      <w:r>
        <w:rPr>
          <w:rFonts w:hint="eastAsia" w:ascii="黑体" w:hAnsi="黑体" w:eastAsia="黑体"/>
          <w:b/>
          <w:kern w:val="0"/>
          <w:sz w:val="32"/>
          <w:szCs w:val="28"/>
          <w:lang w:val="en-US" w:eastAsia="zh-CN"/>
        </w:rPr>
        <w:t>7</w:t>
      </w:r>
      <w:r>
        <w:rPr>
          <w:rFonts w:hint="eastAsia" w:ascii="黑体" w:hAnsi="黑体" w:eastAsia="黑体"/>
          <w:b/>
          <w:kern w:val="0"/>
          <w:sz w:val="32"/>
          <w:szCs w:val="28"/>
          <w:lang w:eastAsia="zh-CN"/>
        </w:rPr>
        <w:t>：住院医疗费用垫付免责范围</w:t>
      </w:r>
    </w:p>
    <w:p>
      <w:pPr>
        <w:numPr>
          <w:ilvl w:val="0"/>
          <w:numId w:val="0"/>
        </w:numPr>
        <w:spacing w:line="360" w:lineRule="auto"/>
        <w:ind w:leftChars="0"/>
        <w:rPr>
          <w:rFonts w:hint="eastAsia" w:ascii="黑体" w:hAnsi="黑体" w:eastAsia="黑体"/>
          <w:lang w:eastAsia="zh-CN"/>
        </w:rPr>
      </w:pPr>
      <w:r>
        <w:rPr>
          <w:rFonts w:hint="eastAsia" w:ascii="黑体" w:hAnsi="黑体" w:eastAsia="黑体"/>
          <w:lang w:val="en-US" w:eastAsia="zh-CN"/>
        </w:rPr>
        <w:t>1.</w:t>
      </w:r>
      <w:r>
        <w:rPr>
          <w:rFonts w:hint="eastAsia" w:ascii="黑体" w:hAnsi="黑体" w:eastAsia="黑体"/>
          <w:lang w:eastAsia="zh-CN"/>
        </w:rPr>
        <w:t>在服务期生效前，已罹患的疾病、已存在的症状或残疾，或符合保险产品的免责范围的；</w:t>
      </w:r>
    </w:p>
    <w:p>
      <w:pPr>
        <w:numPr>
          <w:ilvl w:val="0"/>
          <w:numId w:val="0"/>
        </w:numPr>
        <w:spacing w:line="360" w:lineRule="auto"/>
        <w:ind w:leftChars="0"/>
        <w:rPr>
          <w:rFonts w:hint="eastAsia" w:ascii="黑体" w:hAnsi="黑体" w:eastAsia="黑体"/>
          <w:lang w:eastAsia="zh-CN"/>
        </w:rPr>
      </w:pPr>
      <w:r>
        <w:rPr>
          <w:rFonts w:hint="eastAsia" w:ascii="黑体" w:hAnsi="黑体" w:eastAsia="黑体"/>
          <w:lang w:val="en-US" w:eastAsia="zh-CN"/>
        </w:rPr>
        <w:t>2.</w:t>
      </w:r>
      <w:r>
        <w:rPr>
          <w:rFonts w:hint="eastAsia" w:ascii="黑体" w:hAnsi="黑体" w:eastAsia="黑体"/>
          <w:lang w:eastAsia="zh-CN"/>
        </w:rPr>
        <w:t>本次疾患不属于合同约定的保险责任范围的；</w:t>
      </w:r>
    </w:p>
    <w:p>
      <w:pPr>
        <w:numPr>
          <w:ilvl w:val="0"/>
          <w:numId w:val="0"/>
        </w:numPr>
        <w:spacing w:line="360" w:lineRule="auto"/>
        <w:ind w:leftChars="0"/>
        <w:rPr>
          <w:rFonts w:hint="eastAsia" w:ascii="黑体" w:hAnsi="黑体" w:eastAsia="黑体"/>
          <w:lang w:eastAsia="zh-CN"/>
        </w:rPr>
      </w:pPr>
      <w:r>
        <w:rPr>
          <w:rFonts w:hint="eastAsia" w:ascii="黑体" w:hAnsi="黑体" w:eastAsia="黑体"/>
          <w:lang w:val="en-US" w:eastAsia="zh-CN"/>
        </w:rPr>
        <w:t>3.</w:t>
      </w:r>
      <w:r>
        <w:rPr>
          <w:rFonts w:hint="eastAsia" w:ascii="黑体" w:hAnsi="黑体" w:eastAsia="黑体"/>
          <w:lang w:eastAsia="zh-CN"/>
        </w:rPr>
        <w:t>提供虚假投保及报案信息，或故意未履行如实告知义务，或存在欺诈行为的；</w:t>
      </w:r>
    </w:p>
    <w:p>
      <w:pPr>
        <w:numPr>
          <w:ilvl w:val="0"/>
          <w:numId w:val="0"/>
        </w:numPr>
        <w:spacing w:line="360" w:lineRule="auto"/>
        <w:ind w:leftChars="0"/>
        <w:rPr>
          <w:rFonts w:hint="eastAsia" w:ascii="黑体" w:hAnsi="黑体" w:eastAsia="黑体"/>
          <w:lang w:eastAsia="zh-CN"/>
        </w:rPr>
      </w:pPr>
      <w:r>
        <w:rPr>
          <w:rFonts w:hint="eastAsia" w:ascii="黑体" w:hAnsi="黑体" w:eastAsia="黑体"/>
          <w:lang w:val="en-US" w:eastAsia="zh-CN"/>
        </w:rPr>
        <w:t>4.</w:t>
      </w:r>
      <w:r>
        <w:rPr>
          <w:rFonts w:hint="eastAsia" w:ascii="黑体" w:hAnsi="黑体" w:eastAsia="黑体"/>
          <w:lang w:eastAsia="zh-CN"/>
        </w:rPr>
        <w:t>经保险公司确认的疑难案例暂缓垫付的；</w:t>
      </w:r>
    </w:p>
    <w:p>
      <w:pPr>
        <w:numPr>
          <w:ilvl w:val="0"/>
          <w:numId w:val="0"/>
        </w:numPr>
        <w:spacing w:line="360" w:lineRule="auto"/>
        <w:ind w:leftChars="0"/>
        <w:rPr>
          <w:rFonts w:hint="default" w:ascii="黑体" w:hAnsi="黑体" w:eastAsia="黑体"/>
          <w:lang w:val="en-US" w:eastAsia="zh-CN"/>
        </w:rPr>
      </w:pPr>
      <w:r>
        <w:rPr>
          <w:rFonts w:hint="eastAsia" w:ascii="黑体" w:hAnsi="黑体" w:eastAsia="黑体"/>
          <w:lang w:val="en-US" w:eastAsia="zh-CN"/>
        </w:rPr>
        <w:t>5.存在显著信用风险以及欺诈风险，情况严重的;</w:t>
      </w:r>
    </w:p>
    <w:p>
      <w:pPr>
        <w:numPr>
          <w:ilvl w:val="0"/>
          <w:numId w:val="0"/>
        </w:numPr>
        <w:spacing w:line="360" w:lineRule="auto"/>
        <w:ind w:leftChars="0"/>
        <w:rPr>
          <w:rFonts w:hint="eastAsia" w:ascii="黑体" w:hAnsi="黑体" w:eastAsia="黑体"/>
          <w:lang w:eastAsia="zh-CN"/>
        </w:rPr>
      </w:pPr>
      <w:r>
        <w:rPr>
          <w:rFonts w:hint="eastAsia" w:ascii="黑体" w:hAnsi="黑体" w:eastAsia="黑体"/>
          <w:lang w:val="en-US" w:eastAsia="zh-CN"/>
        </w:rPr>
        <w:t>6.</w:t>
      </w:r>
      <w:r>
        <w:rPr>
          <w:rFonts w:hint="eastAsia" w:ascii="黑体" w:hAnsi="黑体" w:eastAsia="黑体"/>
          <w:lang w:eastAsia="zh-CN"/>
        </w:rPr>
        <w:t>不配合交纳自费押金的；</w:t>
      </w:r>
    </w:p>
    <w:p>
      <w:pPr>
        <w:numPr>
          <w:ilvl w:val="0"/>
          <w:numId w:val="0"/>
        </w:numPr>
        <w:spacing w:line="360" w:lineRule="auto"/>
        <w:ind w:leftChars="0"/>
        <w:rPr>
          <w:rFonts w:hint="eastAsia" w:ascii="黑体" w:hAnsi="黑体" w:eastAsia="黑体"/>
          <w:lang w:eastAsia="zh-CN"/>
        </w:rPr>
      </w:pPr>
      <w:r>
        <w:rPr>
          <w:rFonts w:hint="eastAsia" w:ascii="黑体" w:hAnsi="黑体" w:eastAsia="黑体"/>
          <w:lang w:val="en-US" w:eastAsia="zh-CN"/>
        </w:rPr>
        <w:t>7.当</w:t>
      </w:r>
      <w:r>
        <w:rPr>
          <w:rFonts w:hint="eastAsia" w:ascii="黑体" w:hAnsi="黑体" w:eastAsia="黑体"/>
          <w:lang w:eastAsia="zh-CN"/>
        </w:rPr>
        <w:t>以医保/农合形式住院，但出院时医保/农合无法实时结算时的；</w:t>
      </w:r>
    </w:p>
    <w:p>
      <w:pPr>
        <w:numPr>
          <w:ilvl w:val="0"/>
          <w:numId w:val="0"/>
        </w:numPr>
        <w:spacing w:line="360" w:lineRule="auto"/>
        <w:ind w:leftChars="0"/>
        <w:rPr>
          <w:rFonts w:hint="eastAsia" w:ascii="黑体" w:hAnsi="黑体" w:eastAsia="黑体"/>
          <w:lang w:eastAsia="zh-CN"/>
        </w:rPr>
      </w:pPr>
      <w:r>
        <w:rPr>
          <w:rFonts w:hint="eastAsia" w:ascii="黑体" w:hAnsi="黑体" w:eastAsia="黑体"/>
          <w:lang w:val="en-US" w:eastAsia="zh-CN"/>
        </w:rPr>
        <w:t>8.</w:t>
      </w:r>
      <w:r>
        <w:rPr>
          <w:rFonts w:hint="eastAsia" w:ascii="黑体" w:hAnsi="黑体" w:eastAsia="黑体"/>
          <w:lang w:eastAsia="zh-CN"/>
        </w:rPr>
        <w:t>不配合签署提供医疗及理赔文件的；</w:t>
      </w:r>
    </w:p>
    <w:p>
      <w:pPr>
        <w:numPr>
          <w:ilvl w:val="0"/>
          <w:numId w:val="0"/>
        </w:numPr>
        <w:spacing w:line="360" w:lineRule="auto"/>
        <w:ind w:leftChars="0"/>
        <w:rPr>
          <w:rFonts w:hint="eastAsia" w:ascii="黑体" w:hAnsi="黑体" w:eastAsia="黑体"/>
          <w:b/>
          <w:kern w:val="0"/>
          <w:sz w:val="32"/>
          <w:szCs w:val="28"/>
          <w:lang w:eastAsia="zh-CN"/>
        </w:rPr>
      </w:pPr>
      <w:r>
        <w:rPr>
          <w:rFonts w:hint="eastAsia" w:ascii="黑体" w:hAnsi="黑体" w:eastAsia="黑体"/>
          <w:lang w:val="en-US" w:eastAsia="zh-CN"/>
        </w:rPr>
        <w:t>9.</w:t>
      </w:r>
      <w:r>
        <w:rPr>
          <w:rFonts w:hint="eastAsia" w:ascii="黑体" w:hAnsi="黑体" w:eastAsia="黑体"/>
          <w:lang w:eastAsia="zh-CN"/>
        </w:rPr>
        <w:t>不可抗力的免责事由：由于罢工、战争、入侵、外敌活动、武装敌对活动（无论是否已宣战）、内战、暴动、起义、恐怖主义、政变、骚乱及内乱、行政或政治障碍、辐射、群体性疾病风险、传染病或其它任何不可抗力的情况以及国家关于行业监管政策调整的情形。</w:t>
      </w:r>
    </w:p>
    <w:p>
      <w:pPr>
        <w:widowControl/>
        <w:spacing w:line="400" w:lineRule="exact"/>
        <w:rPr>
          <w:rFonts w:hint="eastAsia" w:ascii="黑体" w:hAnsi="黑体" w:eastAsia="黑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昆仑仿宋">
    <w:altName w:val="仿宋"/>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0">
    <w:nsid w:val="26E9516F"/>
    <w:multiLevelType w:val="singleLevel"/>
    <w:tmpl w:val="26E9516F"/>
    <w:lvl w:ilvl="0" w:tentative="0">
      <w:start w:val="1"/>
      <w:numFmt w:val="decimal"/>
      <w:lvlText w:val="%1."/>
      <w:lvlJc w:val="left"/>
      <w:pPr>
        <w:tabs>
          <w:tab w:val="left" w:pos="312"/>
        </w:tabs>
      </w:pPr>
    </w:lvl>
  </w:abstractNum>
  <w:abstractNum w:abstractNumId="11">
    <w:nsid w:val="3E463F57"/>
    <w:multiLevelType w:val="multilevel"/>
    <w:tmpl w:val="3E463F57"/>
    <w:lvl w:ilvl="0" w:tentative="0">
      <w:start w:val="1"/>
      <w:numFmt w:val="decimal"/>
      <w:lvlText w:val="%1、"/>
      <w:lvlJc w:val="left"/>
      <w:pPr>
        <w:tabs>
          <w:tab w:val="left" w:pos="-420"/>
        </w:tabs>
        <w:ind w:left="0" w:hanging="420"/>
      </w:pPr>
      <w:rPr>
        <w:rFonts w:hint="eastAsia" w:eastAsia="微软雅黑"/>
        <w:b w:val="0"/>
        <w:i w:val="0"/>
        <w:sz w:val="21"/>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420"/>
        </w:tabs>
        <w:ind w:left="840" w:hanging="420"/>
      </w:pPr>
    </w:lvl>
    <w:lvl w:ilvl="3" w:tentative="0">
      <w:start w:val="1"/>
      <w:numFmt w:val="decimal"/>
      <w:lvlText w:val="%4."/>
      <w:lvlJc w:val="left"/>
      <w:pPr>
        <w:tabs>
          <w:tab w:val="left" w:pos="-420"/>
        </w:tabs>
        <w:ind w:left="1260" w:hanging="420"/>
      </w:pPr>
    </w:lvl>
    <w:lvl w:ilvl="4" w:tentative="0">
      <w:start w:val="1"/>
      <w:numFmt w:val="lowerLetter"/>
      <w:lvlText w:val="%5)"/>
      <w:lvlJc w:val="left"/>
      <w:pPr>
        <w:tabs>
          <w:tab w:val="left" w:pos="-420"/>
        </w:tabs>
        <w:ind w:left="1680" w:hanging="420"/>
      </w:pPr>
    </w:lvl>
    <w:lvl w:ilvl="5" w:tentative="0">
      <w:start w:val="1"/>
      <w:numFmt w:val="lowerRoman"/>
      <w:lvlText w:val="%6."/>
      <w:lvlJc w:val="right"/>
      <w:pPr>
        <w:tabs>
          <w:tab w:val="left" w:pos="-420"/>
        </w:tabs>
        <w:ind w:left="2100" w:hanging="420"/>
      </w:pPr>
    </w:lvl>
    <w:lvl w:ilvl="6" w:tentative="0">
      <w:start w:val="1"/>
      <w:numFmt w:val="decimal"/>
      <w:lvlText w:val="%7."/>
      <w:lvlJc w:val="left"/>
      <w:pPr>
        <w:tabs>
          <w:tab w:val="left" w:pos="-420"/>
        </w:tabs>
        <w:ind w:left="2520" w:hanging="420"/>
      </w:pPr>
    </w:lvl>
    <w:lvl w:ilvl="7" w:tentative="0">
      <w:start w:val="1"/>
      <w:numFmt w:val="lowerLetter"/>
      <w:lvlText w:val="%8)"/>
      <w:lvlJc w:val="left"/>
      <w:pPr>
        <w:tabs>
          <w:tab w:val="left" w:pos="-420"/>
        </w:tabs>
        <w:ind w:left="2940" w:hanging="420"/>
      </w:pPr>
    </w:lvl>
    <w:lvl w:ilvl="8" w:tentative="0">
      <w:start w:val="1"/>
      <w:numFmt w:val="lowerRoman"/>
      <w:lvlText w:val="%9."/>
      <w:lvlJc w:val="right"/>
      <w:pPr>
        <w:tabs>
          <w:tab w:val="left" w:pos="-420"/>
        </w:tabs>
        <w:ind w:left="3360" w:hanging="420"/>
      </w:pPr>
    </w:lvl>
  </w:abstractNum>
  <w:abstractNum w:abstractNumId="12">
    <w:nsid w:val="44CEDA4D"/>
    <w:multiLevelType w:val="singleLevel"/>
    <w:tmpl w:val="44CEDA4D"/>
    <w:lvl w:ilvl="0" w:tentative="0">
      <w:start w:val="1"/>
      <w:numFmt w:val="decimal"/>
      <w:lvlText w:val="%1."/>
      <w:lvlJc w:val="left"/>
      <w:pPr>
        <w:tabs>
          <w:tab w:val="left" w:pos="312"/>
        </w:tabs>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AD"/>
    <w:rsid w:val="000079DF"/>
    <w:rsid w:val="000147F8"/>
    <w:rsid w:val="000174D8"/>
    <w:rsid w:val="00034033"/>
    <w:rsid w:val="00035C59"/>
    <w:rsid w:val="00052E65"/>
    <w:rsid w:val="00066344"/>
    <w:rsid w:val="00071280"/>
    <w:rsid w:val="00080630"/>
    <w:rsid w:val="000B21C7"/>
    <w:rsid w:val="000B7B6D"/>
    <w:rsid w:val="000E658A"/>
    <w:rsid w:val="000F5136"/>
    <w:rsid w:val="00104121"/>
    <w:rsid w:val="00161AC1"/>
    <w:rsid w:val="00184149"/>
    <w:rsid w:val="001A2349"/>
    <w:rsid w:val="001A6B74"/>
    <w:rsid w:val="001C116B"/>
    <w:rsid w:val="001C39EA"/>
    <w:rsid w:val="001D0D53"/>
    <w:rsid w:val="001D14AA"/>
    <w:rsid w:val="001D615C"/>
    <w:rsid w:val="001E6A7C"/>
    <w:rsid w:val="001F58AE"/>
    <w:rsid w:val="00206891"/>
    <w:rsid w:val="00211F3E"/>
    <w:rsid w:val="00270726"/>
    <w:rsid w:val="002761F9"/>
    <w:rsid w:val="00290975"/>
    <w:rsid w:val="002A4279"/>
    <w:rsid w:val="002E2EFB"/>
    <w:rsid w:val="00304136"/>
    <w:rsid w:val="003050AF"/>
    <w:rsid w:val="003317D8"/>
    <w:rsid w:val="00331E49"/>
    <w:rsid w:val="00345A73"/>
    <w:rsid w:val="00366122"/>
    <w:rsid w:val="003679C4"/>
    <w:rsid w:val="003761A7"/>
    <w:rsid w:val="00384B1B"/>
    <w:rsid w:val="003910E3"/>
    <w:rsid w:val="003D7487"/>
    <w:rsid w:val="003D7CAD"/>
    <w:rsid w:val="004023EF"/>
    <w:rsid w:val="00406D85"/>
    <w:rsid w:val="00414A2C"/>
    <w:rsid w:val="00415BFD"/>
    <w:rsid w:val="0042633E"/>
    <w:rsid w:val="004376A1"/>
    <w:rsid w:val="0044123F"/>
    <w:rsid w:val="004554AE"/>
    <w:rsid w:val="00471121"/>
    <w:rsid w:val="00484630"/>
    <w:rsid w:val="004A4768"/>
    <w:rsid w:val="004B149A"/>
    <w:rsid w:val="004D6246"/>
    <w:rsid w:val="004E51C3"/>
    <w:rsid w:val="00501FA3"/>
    <w:rsid w:val="00503B5B"/>
    <w:rsid w:val="0053173C"/>
    <w:rsid w:val="005A6E09"/>
    <w:rsid w:val="005C6A06"/>
    <w:rsid w:val="005C6D4D"/>
    <w:rsid w:val="005D0161"/>
    <w:rsid w:val="005D3066"/>
    <w:rsid w:val="005F09E1"/>
    <w:rsid w:val="006003D8"/>
    <w:rsid w:val="00617A5F"/>
    <w:rsid w:val="006302DB"/>
    <w:rsid w:val="006319AF"/>
    <w:rsid w:val="0064039D"/>
    <w:rsid w:val="00655547"/>
    <w:rsid w:val="00657189"/>
    <w:rsid w:val="006723B8"/>
    <w:rsid w:val="0067661A"/>
    <w:rsid w:val="006862C4"/>
    <w:rsid w:val="006A2CD2"/>
    <w:rsid w:val="006B7E6D"/>
    <w:rsid w:val="006D065F"/>
    <w:rsid w:val="006E210E"/>
    <w:rsid w:val="006E5C00"/>
    <w:rsid w:val="00702773"/>
    <w:rsid w:val="00706C49"/>
    <w:rsid w:val="007449FA"/>
    <w:rsid w:val="00757665"/>
    <w:rsid w:val="007607E4"/>
    <w:rsid w:val="007650B1"/>
    <w:rsid w:val="007B1242"/>
    <w:rsid w:val="007E427B"/>
    <w:rsid w:val="008119CE"/>
    <w:rsid w:val="00816F34"/>
    <w:rsid w:val="00832161"/>
    <w:rsid w:val="008374FE"/>
    <w:rsid w:val="008456D6"/>
    <w:rsid w:val="00854BA4"/>
    <w:rsid w:val="00854C45"/>
    <w:rsid w:val="008766C0"/>
    <w:rsid w:val="00897861"/>
    <w:rsid w:val="008A68AE"/>
    <w:rsid w:val="008A7F48"/>
    <w:rsid w:val="008B66B0"/>
    <w:rsid w:val="008C36A2"/>
    <w:rsid w:val="009038C8"/>
    <w:rsid w:val="00941F60"/>
    <w:rsid w:val="00942757"/>
    <w:rsid w:val="00950CF3"/>
    <w:rsid w:val="00951B5C"/>
    <w:rsid w:val="00952101"/>
    <w:rsid w:val="0095295B"/>
    <w:rsid w:val="00976A54"/>
    <w:rsid w:val="0099182E"/>
    <w:rsid w:val="00995907"/>
    <w:rsid w:val="009C6415"/>
    <w:rsid w:val="009E2CC2"/>
    <w:rsid w:val="00A01E79"/>
    <w:rsid w:val="00A2767F"/>
    <w:rsid w:val="00A43EAE"/>
    <w:rsid w:val="00A51CA4"/>
    <w:rsid w:val="00A5586E"/>
    <w:rsid w:val="00A7755C"/>
    <w:rsid w:val="00A802FC"/>
    <w:rsid w:val="00A8741A"/>
    <w:rsid w:val="00AA5C77"/>
    <w:rsid w:val="00AB6E7C"/>
    <w:rsid w:val="00AF1882"/>
    <w:rsid w:val="00B00125"/>
    <w:rsid w:val="00B0386C"/>
    <w:rsid w:val="00B073AD"/>
    <w:rsid w:val="00B10254"/>
    <w:rsid w:val="00B176A3"/>
    <w:rsid w:val="00B43CF2"/>
    <w:rsid w:val="00B47C65"/>
    <w:rsid w:val="00B516EC"/>
    <w:rsid w:val="00B574B9"/>
    <w:rsid w:val="00BB2598"/>
    <w:rsid w:val="00BE6C9D"/>
    <w:rsid w:val="00BF4FB6"/>
    <w:rsid w:val="00C06452"/>
    <w:rsid w:val="00C158BE"/>
    <w:rsid w:val="00C2324E"/>
    <w:rsid w:val="00C330C8"/>
    <w:rsid w:val="00C7549C"/>
    <w:rsid w:val="00CA67DC"/>
    <w:rsid w:val="00CB26FE"/>
    <w:rsid w:val="00CB3456"/>
    <w:rsid w:val="00CB7628"/>
    <w:rsid w:val="00CC0A3A"/>
    <w:rsid w:val="00CC37A4"/>
    <w:rsid w:val="00CF0408"/>
    <w:rsid w:val="00CF4DA4"/>
    <w:rsid w:val="00D11298"/>
    <w:rsid w:val="00D37098"/>
    <w:rsid w:val="00D45203"/>
    <w:rsid w:val="00D57325"/>
    <w:rsid w:val="00D6044E"/>
    <w:rsid w:val="00DA2B92"/>
    <w:rsid w:val="00DA35E9"/>
    <w:rsid w:val="00DB38AC"/>
    <w:rsid w:val="00DB4041"/>
    <w:rsid w:val="00DC1F0B"/>
    <w:rsid w:val="00DC3ACA"/>
    <w:rsid w:val="00DC4168"/>
    <w:rsid w:val="00DE654E"/>
    <w:rsid w:val="00DF2F5D"/>
    <w:rsid w:val="00E04A2F"/>
    <w:rsid w:val="00EC07D7"/>
    <w:rsid w:val="00ED2E52"/>
    <w:rsid w:val="00ED36AE"/>
    <w:rsid w:val="00F52D9A"/>
    <w:rsid w:val="00F5468A"/>
    <w:rsid w:val="00F723F3"/>
    <w:rsid w:val="00FC282D"/>
    <w:rsid w:val="00FC3ED5"/>
    <w:rsid w:val="00FD3F68"/>
    <w:rsid w:val="00FF19A4"/>
    <w:rsid w:val="00FF4BF6"/>
    <w:rsid w:val="013A20ED"/>
    <w:rsid w:val="014C1A2E"/>
    <w:rsid w:val="017F2CBB"/>
    <w:rsid w:val="02B63813"/>
    <w:rsid w:val="03C921F7"/>
    <w:rsid w:val="04654AC5"/>
    <w:rsid w:val="04E96333"/>
    <w:rsid w:val="05AF7C1B"/>
    <w:rsid w:val="05C676DF"/>
    <w:rsid w:val="05FD6C9C"/>
    <w:rsid w:val="072A29F6"/>
    <w:rsid w:val="07A87A6D"/>
    <w:rsid w:val="07DA4ED6"/>
    <w:rsid w:val="09843C30"/>
    <w:rsid w:val="09A568E4"/>
    <w:rsid w:val="09A97EA2"/>
    <w:rsid w:val="0A1F6BD6"/>
    <w:rsid w:val="0BE777CF"/>
    <w:rsid w:val="0D122699"/>
    <w:rsid w:val="0D821F89"/>
    <w:rsid w:val="0E325D5A"/>
    <w:rsid w:val="0EBF548B"/>
    <w:rsid w:val="10E0517F"/>
    <w:rsid w:val="10E340C2"/>
    <w:rsid w:val="10F77621"/>
    <w:rsid w:val="11320E1A"/>
    <w:rsid w:val="11BC338E"/>
    <w:rsid w:val="125C5284"/>
    <w:rsid w:val="12BD2521"/>
    <w:rsid w:val="12D85F9B"/>
    <w:rsid w:val="130458CD"/>
    <w:rsid w:val="132571CA"/>
    <w:rsid w:val="140F30D0"/>
    <w:rsid w:val="158B7B61"/>
    <w:rsid w:val="16543871"/>
    <w:rsid w:val="171634AA"/>
    <w:rsid w:val="1789584A"/>
    <w:rsid w:val="19123A82"/>
    <w:rsid w:val="19517C88"/>
    <w:rsid w:val="197A5E8A"/>
    <w:rsid w:val="197E1B84"/>
    <w:rsid w:val="19833F21"/>
    <w:rsid w:val="1B4753A5"/>
    <w:rsid w:val="1BBF33F1"/>
    <w:rsid w:val="1BDA2043"/>
    <w:rsid w:val="1C4F75C9"/>
    <w:rsid w:val="1C9751E2"/>
    <w:rsid w:val="1D0A7FE8"/>
    <w:rsid w:val="1E001B8C"/>
    <w:rsid w:val="1EF948E1"/>
    <w:rsid w:val="1FD530B0"/>
    <w:rsid w:val="1FE17BE3"/>
    <w:rsid w:val="20886D43"/>
    <w:rsid w:val="218B3D23"/>
    <w:rsid w:val="227962A7"/>
    <w:rsid w:val="239D45F7"/>
    <w:rsid w:val="240F3115"/>
    <w:rsid w:val="24DC6F13"/>
    <w:rsid w:val="250B5513"/>
    <w:rsid w:val="26353FE7"/>
    <w:rsid w:val="26FA1BE8"/>
    <w:rsid w:val="272358BE"/>
    <w:rsid w:val="2757171F"/>
    <w:rsid w:val="27BA339C"/>
    <w:rsid w:val="288803F7"/>
    <w:rsid w:val="289B6838"/>
    <w:rsid w:val="289C43FD"/>
    <w:rsid w:val="298817E6"/>
    <w:rsid w:val="29CC3097"/>
    <w:rsid w:val="2A320BEC"/>
    <w:rsid w:val="2A5014B7"/>
    <w:rsid w:val="2A505513"/>
    <w:rsid w:val="2ACC12C9"/>
    <w:rsid w:val="2B9A2C2A"/>
    <w:rsid w:val="2C456551"/>
    <w:rsid w:val="2D6F70EF"/>
    <w:rsid w:val="2F5D5E5E"/>
    <w:rsid w:val="2FD46678"/>
    <w:rsid w:val="304659AE"/>
    <w:rsid w:val="306C476B"/>
    <w:rsid w:val="308E783F"/>
    <w:rsid w:val="32091FA5"/>
    <w:rsid w:val="326659E9"/>
    <w:rsid w:val="326D361F"/>
    <w:rsid w:val="329B1FE3"/>
    <w:rsid w:val="32E206CA"/>
    <w:rsid w:val="34296340"/>
    <w:rsid w:val="34A357D2"/>
    <w:rsid w:val="3501469A"/>
    <w:rsid w:val="350F2059"/>
    <w:rsid w:val="366F62E1"/>
    <w:rsid w:val="3688721B"/>
    <w:rsid w:val="36C63C98"/>
    <w:rsid w:val="3862245B"/>
    <w:rsid w:val="388B733F"/>
    <w:rsid w:val="38ED670D"/>
    <w:rsid w:val="3A3119F5"/>
    <w:rsid w:val="3A3674A2"/>
    <w:rsid w:val="3AB945B1"/>
    <w:rsid w:val="3BD176E7"/>
    <w:rsid w:val="3D013B00"/>
    <w:rsid w:val="3DFD6FB4"/>
    <w:rsid w:val="3E076770"/>
    <w:rsid w:val="3E360D6E"/>
    <w:rsid w:val="3EE079F7"/>
    <w:rsid w:val="3FA003E6"/>
    <w:rsid w:val="406D02D9"/>
    <w:rsid w:val="409F7319"/>
    <w:rsid w:val="41AF2157"/>
    <w:rsid w:val="41D2569A"/>
    <w:rsid w:val="438E68FA"/>
    <w:rsid w:val="439847DD"/>
    <w:rsid w:val="44BB5B8C"/>
    <w:rsid w:val="45C2367A"/>
    <w:rsid w:val="468D31F7"/>
    <w:rsid w:val="46FF5B62"/>
    <w:rsid w:val="472A6F8C"/>
    <w:rsid w:val="480734FE"/>
    <w:rsid w:val="483E44A5"/>
    <w:rsid w:val="4898383C"/>
    <w:rsid w:val="49BD0215"/>
    <w:rsid w:val="4A865E61"/>
    <w:rsid w:val="4C4A5DB5"/>
    <w:rsid w:val="4D0A29D9"/>
    <w:rsid w:val="4D6272D9"/>
    <w:rsid w:val="4E415768"/>
    <w:rsid w:val="4F2D602E"/>
    <w:rsid w:val="4FF67288"/>
    <w:rsid w:val="503D17FF"/>
    <w:rsid w:val="5076406E"/>
    <w:rsid w:val="50771DAD"/>
    <w:rsid w:val="507A6030"/>
    <w:rsid w:val="50C33B8C"/>
    <w:rsid w:val="50DC50BC"/>
    <w:rsid w:val="51580148"/>
    <w:rsid w:val="515924DD"/>
    <w:rsid w:val="51910C90"/>
    <w:rsid w:val="51B06A6E"/>
    <w:rsid w:val="51D22117"/>
    <w:rsid w:val="52924DA7"/>
    <w:rsid w:val="53956DB3"/>
    <w:rsid w:val="53AE777F"/>
    <w:rsid w:val="53B6178B"/>
    <w:rsid w:val="53C042B6"/>
    <w:rsid w:val="53C47483"/>
    <w:rsid w:val="547B3D51"/>
    <w:rsid w:val="54E91D57"/>
    <w:rsid w:val="55D54E4F"/>
    <w:rsid w:val="56185660"/>
    <w:rsid w:val="57684178"/>
    <w:rsid w:val="5ABE5677"/>
    <w:rsid w:val="5B373FFD"/>
    <w:rsid w:val="5BA5778E"/>
    <w:rsid w:val="5BCC1427"/>
    <w:rsid w:val="5C8012C8"/>
    <w:rsid w:val="5CC53199"/>
    <w:rsid w:val="5D9E52D8"/>
    <w:rsid w:val="5F0F065A"/>
    <w:rsid w:val="5F285616"/>
    <w:rsid w:val="5FD97406"/>
    <w:rsid w:val="602E3F17"/>
    <w:rsid w:val="60D87F2C"/>
    <w:rsid w:val="613C369B"/>
    <w:rsid w:val="616A4953"/>
    <w:rsid w:val="62721751"/>
    <w:rsid w:val="645D34A2"/>
    <w:rsid w:val="65660051"/>
    <w:rsid w:val="65676B71"/>
    <w:rsid w:val="66207EB9"/>
    <w:rsid w:val="67C87C2F"/>
    <w:rsid w:val="67E92052"/>
    <w:rsid w:val="68611F07"/>
    <w:rsid w:val="69181086"/>
    <w:rsid w:val="69706799"/>
    <w:rsid w:val="6A345243"/>
    <w:rsid w:val="6A6E5969"/>
    <w:rsid w:val="6A836DC8"/>
    <w:rsid w:val="6ADC58D6"/>
    <w:rsid w:val="6B227CBC"/>
    <w:rsid w:val="6B3E6A7F"/>
    <w:rsid w:val="6B7A6F25"/>
    <w:rsid w:val="6C2724F1"/>
    <w:rsid w:val="6C6A7A0E"/>
    <w:rsid w:val="6C9115D2"/>
    <w:rsid w:val="6CAF4A04"/>
    <w:rsid w:val="6D437FBD"/>
    <w:rsid w:val="6D9C6185"/>
    <w:rsid w:val="6E6A3953"/>
    <w:rsid w:val="6EEC5300"/>
    <w:rsid w:val="6FB50EEC"/>
    <w:rsid w:val="70E473AB"/>
    <w:rsid w:val="71D8308B"/>
    <w:rsid w:val="722141FF"/>
    <w:rsid w:val="73491CF7"/>
    <w:rsid w:val="73946219"/>
    <w:rsid w:val="7435692B"/>
    <w:rsid w:val="74934ACC"/>
    <w:rsid w:val="74BF74B1"/>
    <w:rsid w:val="74D54A0D"/>
    <w:rsid w:val="767B5749"/>
    <w:rsid w:val="76B60E9D"/>
    <w:rsid w:val="76D225A3"/>
    <w:rsid w:val="76DA6038"/>
    <w:rsid w:val="76FD227B"/>
    <w:rsid w:val="778A5873"/>
    <w:rsid w:val="77B27711"/>
    <w:rsid w:val="786218CE"/>
    <w:rsid w:val="791025E4"/>
    <w:rsid w:val="7A7E4B67"/>
    <w:rsid w:val="7B6A3C4D"/>
    <w:rsid w:val="7BCD5CC2"/>
    <w:rsid w:val="7CC80BC7"/>
    <w:rsid w:val="7DA46E3C"/>
    <w:rsid w:val="7E3D2524"/>
    <w:rsid w:val="7E9C7848"/>
    <w:rsid w:val="7ED5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99"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15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55"/>
    <w:unhideWhenUsed/>
    <w:qFormat/>
    <w:uiPriority w:val="0"/>
    <w:pPr>
      <w:keepNext/>
      <w:keepLines/>
      <w:spacing w:before="260" w:after="260" w:line="416" w:lineRule="auto"/>
      <w:outlineLvl w:val="1"/>
    </w:pPr>
    <w:rPr>
      <w:rFonts w:ascii="Cambria" w:hAnsi="Cambria" w:cs="黑体"/>
      <w:b/>
      <w:bCs/>
      <w:sz w:val="32"/>
      <w:szCs w:val="32"/>
    </w:rPr>
  </w:style>
  <w:style w:type="paragraph" w:styleId="5">
    <w:name w:val="heading 3"/>
    <w:basedOn w:val="1"/>
    <w:next w:val="1"/>
    <w:link w:val="156"/>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57"/>
    <w:unhideWhenUsed/>
    <w:qFormat/>
    <w:uiPriority w:val="0"/>
    <w:pPr>
      <w:keepNext/>
      <w:keepLines/>
      <w:spacing w:before="280" w:after="290" w:line="376" w:lineRule="auto"/>
      <w:outlineLvl w:val="3"/>
    </w:pPr>
    <w:rPr>
      <w:rFonts w:ascii="Cambria" w:hAnsi="Cambria" w:cs="黑体"/>
      <w:b/>
      <w:bCs/>
      <w:sz w:val="28"/>
      <w:szCs w:val="28"/>
    </w:rPr>
  </w:style>
  <w:style w:type="paragraph" w:styleId="7">
    <w:name w:val="heading 5"/>
    <w:basedOn w:val="1"/>
    <w:next w:val="1"/>
    <w:link w:val="158"/>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59"/>
    <w:semiHidden/>
    <w:unhideWhenUsed/>
    <w:qFormat/>
    <w:uiPriority w:val="0"/>
    <w:pPr>
      <w:keepNext/>
      <w:keepLines/>
      <w:spacing w:before="240" w:after="64" w:line="320" w:lineRule="auto"/>
      <w:outlineLvl w:val="5"/>
    </w:pPr>
    <w:rPr>
      <w:rFonts w:ascii="Cambria" w:hAnsi="Cambria" w:cs="黑体"/>
      <w:b/>
      <w:bCs/>
    </w:rPr>
  </w:style>
  <w:style w:type="paragraph" w:styleId="9">
    <w:name w:val="heading 7"/>
    <w:basedOn w:val="1"/>
    <w:next w:val="1"/>
    <w:link w:val="160"/>
    <w:semiHidden/>
    <w:unhideWhenUsed/>
    <w:qFormat/>
    <w:uiPriority w:val="0"/>
    <w:pPr>
      <w:keepNext/>
      <w:keepLines/>
      <w:spacing w:before="240" w:after="64" w:line="320" w:lineRule="auto"/>
      <w:outlineLvl w:val="6"/>
    </w:pPr>
    <w:rPr>
      <w:b/>
      <w:bCs/>
    </w:rPr>
  </w:style>
  <w:style w:type="paragraph" w:styleId="10">
    <w:name w:val="heading 8"/>
    <w:basedOn w:val="1"/>
    <w:next w:val="1"/>
    <w:link w:val="161"/>
    <w:semiHidden/>
    <w:unhideWhenUsed/>
    <w:qFormat/>
    <w:uiPriority w:val="0"/>
    <w:pPr>
      <w:keepNext/>
      <w:keepLines/>
      <w:spacing w:before="240" w:after="64" w:line="320" w:lineRule="auto"/>
      <w:outlineLvl w:val="7"/>
    </w:pPr>
    <w:rPr>
      <w:rFonts w:ascii="Cambria" w:hAnsi="Cambria" w:cs="黑体"/>
    </w:rPr>
  </w:style>
  <w:style w:type="paragraph" w:styleId="11">
    <w:name w:val="heading 9"/>
    <w:basedOn w:val="1"/>
    <w:next w:val="1"/>
    <w:link w:val="162"/>
    <w:semiHidden/>
    <w:unhideWhenUsed/>
    <w:qFormat/>
    <w:uiPriority w:val="0"/>
    <w:pPr>
      <w:keepNext/>
      <w:keepLines/>
      <w:spacing w:before="240" w:after="64" w:line="320" w:lineRule="auto"/>
      <w:outlineLvl w:val="8"/>
    </w:pPr>
    <w:rPr>
      <w:rFonts w:ascii="Cambria" w:hAnsi="Cambria" w:cs="黑体"/>
      <w:sz w:val="21"/>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8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paragraph" w:styleId="12">
    <w:name w:val="List 3"/>
    <w:basedOn w:val="1"/>
    <w:qFormat/>
    <w:uiPriority w:val="0"/>
    <w:pPr>
      <w:ind w:left="100" w:leftChars="400" w:hanging="200" w:hangingChars="200"/>
      <w:contextualSpacing/>
    </w:pPr>
    <w:rPr>
      <w:sz w:val="21"/>
    </w:rPr>
  </w:style>
  <w:style w:type="paragraph" w:styleId="13">
    <w:name w:val="toc 7"/>
    <w:basedOn w:val="1"/>
    <w:next w:val="1"/>
    <w:qFormat/>
    <w:uiPriority w:val="0"/>
    <w:pPr>
      <w:ind w:left="2520" w:leftChars="1200"/>
    </w:pPr>
    <w:rPr>
      <w:sz w:val="21"/>
    </w:rPr>
  </w:style>
  <w:style w:type="paragraph" w:styleId="14">
    <w:name w:val="List Number 2"/>
    <w:basedOn w:val="1"/>
    <w:qFormat/>
    <w:uiPriority w:val="0"/>
    <w:pPr>
      <w:numPr>
        <w:ilvl w:val="0"/>
        <w:numId w:val="1"/>
      </w:numPr>
      <w:contextualSpacing/>
    </w:pPr>
    <w:rPr>
      <w:sz w:val="21"/>
    </w:rPr>
  </w:style>
  <w:style w:type="paragraph" w:styleId="15">
    <w:name w:val="table of authorities"/>
    <w:basedOn w:val="1"/>
    <w:next w:val="1"/>
    <w:qFormat/>
    <w:uiPriority w:val="0"/>
    <w:pPr>
      <w:ind w:left="420" w:leftChars="200"/>
    </w:pPr>
    <w:rPr>
      <w:sz w:val="21"/>
    </w:rPr>
  </w:style>
  <w:style w:type="paragraph" w:styleId="16">
    <w:name w:val="Note Heading"/>
    <w:basedOn w:val="1"/>
    <w:next w:val="1"/>
    <w:link w:val="194"/>
    <w:qFormat/>
    <w:uiPriority w:val="0"/>
    <w:pPr>
      <w:jc w:val="center"/>
    </w:pPr>
    <w:rPr>
      <w:sz w:val="21"/>
    </w:rPr>
  </w:style>
  <w:style w:type="paragraph" w:styleId="17">
    <w:name w:val="List Bullet 4"/>
    <w:basedOn w:val="1"/>
    <w:qFormat/>
    <w:uiPriority w:val="0"/>
    <w:pPr>
      <w:numPr>
        <w:ilvl w:val="0"/>
        <w:numId w:val="2"/>
      </w:numPr>
      <w:contextualSpacing/>
    </w:pPr>
    <w:rPr>
      <w:sz w:val="21"/>
    </w:rPr>
  </w:style>
  <w:style w:type="paragraph" w:styleId="18">
    <w:name w:val="index 8"/>
    <w:basedOn w:val="1"/>
    <w:next w:val="1"/>
    <w:qFormat/>
    <w:uiPriority w:val="0"/>
    <w:pPr>
      <w:ind w:left="1400" w:leftChars="1400"/>
    </w:pPr>
    <w:rPr>
      <w:sz w:val="21"/>
    </w:rPr>
  </w:style>
  <w:style w:type="paragraph" w:styleId="19">
    <w:name w:val="E-mail Signature"/>
    <w:basedOn w:val="1"/>
    <w:link w:val="180"/>
    <w:qFormat/>
    <w:uiPriority w:val="0"/>
    <w:rPr>
      <w:sz w:val="21"/>
    </w:rPr>
  </w:style>
  <w:style w:type="paragraph" w:styleId="20">
    <w:name w:val="List Number"/>
    <w:basedOn w:val="1"/>
    <w:qFormat/>
    <w:uiPriority w:val="0"/>
    <w:pPr>
      <w:numPr>
        <w:ilvl w:val="0"/>
        <w:numId w:val="3"/>
      </w:numPr>
      <w:contextualSpacing/>
    </w:pPr>
    <w:rPr>
      <w:sz w:val="21"/>
    </w:rPr>
  </w:style>
  <w:style w:type="paragraph" w:styleId="21">
    <w:name w:val="Normal Indent"/>
    <w:basedOn w:val="1"/>
    <w:qFormat/>
    <w:uiPriority w:val="0"/>
    <w:pPr>
      <w:ind w:firstLine="420" w:firstLineChars="200"/>
    </w:pPr>
    <w:rPr>
      <w:sz w:val="21"/>
    </w:rPr>
  </w:style>
  <w:style w:type="paragraph" w:styleId="22">
    <w:name w:val="caption"/>
    <w:basedOn w:val="1"/>
    <w:next w:val="1"/>
    <w:semiHidden/>
    <w:unhideWhenUsed/>
    <w:qFormat/>
    <w:uiPriority w:val="0"/>
    <w:rPr>
      <w:rFonts w:ascii="Cambria" w:hAnsi="Cambria" w:eastAsia="黑体" w:cs="黑体"/>
      <w:sz w:val="20"/>
      <w:szCs w:val="20"/>
    </w:rPr>
  </w:style>
  <w:style w:type="paragraph" w:styleId="23">
    <w:name w:val="index 5"/>
    <w:basedOn w:val="1"/>
    <w:next w:val="1"/>
    <w:qFormat/>
    <w:uiPriority w:val="0"/>
    <w:pPr>
      <w:ind w:left="800" w:leftChars="800"/>
    </w:pPr>
    <w:rPr>
      <w:sz w:val="21"/>
    </w:rPr>
  </w:style>
  <w:style w:type="paragraph" w:styleId="24">
    <w:name w:val="List Bullet"/>
    <w:basedOn w:val="1"/>
    <w:qFormat/>
    <w:uiPriority w:val="0"/>
    <w:pPr>
      <w:numPr>
        <w:ilvl w:val="0"/>
        <w:numId w:val="4"/>
      </w:numPr>
      <w:contextualSpacing/>
    </w:pPr>
    <w:rPr>
      <w:sz w:val="21"/>
    </w:rPr>
  </w:style>
  <w:style w:type="paragraph" w:styleId="25">
    <w:name w:val="envelope address"/>
    <w:basedOn w:val="1"/>
    <w:qFormat/>
    <w:uiPriority w:val="0"/>
    <w:pPr>
      <w:snapToGrid w:val="0"/>
      <w:ind w:left="100" w:leftChars="1400"/>
    </w:pPr>
    <w:rPr>
      <w:rFonts w:ascii="Cambria" w:hAnsi="Cambria" w:cs="黑体"/>
    </w:rPr>
  </w:style>
  <w:style w:type="paragraph" w:styleId="26">
    <w:name w:val="Document Map"/>
    <w:basedOn w:val="1"/>
    <w:link w:val="188"/>
    <w:qFormat/>
    <w:uiPriority w:val="0"/>
    <w:rPr>
      <w:rFonts w:ascii="宋体"/>
      <w:sz w:val="18"/>
      <w:szCs w:val="18"/>
    </w:rPr>
  </w:style>
  <w:style w:type="paragraph" w:styleId="27">
    <w:name w:val="toa heading"/>
    <w:basedOn w:val="1"/>
    <w:next w:val="1"/>
    <w:qFormat/>
    <w:uiPriority w:val="0"/>
    <w:pPr>
      <w:spacing w:before="120"/>
    </w:pPr>
    <w:rPr>
      <w:rFonts w:ascii="Cambria" w:hAnsi="Cambria" w:cs="黑体"/>
    </w:rPr>
  </w:style>
  <w:style w:type="paragraph" w:styleId="28">
    <w:name w:val="annotation text"/>
    <w:basedOn w:val="1"/>
    <w:link w:val="172"/>
    <w:qFormat/>
    <w:uiPriority w:val="0"/>
    <w:pPr>
      <w:jc w:val="left"/>
    </w:pPr>
    <w:rPr>
      <w:sz w:val="21"/>
    </w:rPr>
  </w:style>
  <w:style w:type="paragraph" w:styleId="29">
    <w:name w:val="index 6"/>
    <w:basedOn w:val="1"/>
    <w:next w:val="1"/>
    <w:qFormat/>
    <w:uiPriority w:val="0"/>
    <w:pPr>
      <w:ind w:left="1000" w:leftChars="1000"/>
    </w:pPr>
    <w:rPr>
      <w:sz w:val="21"/>
    </w:rPr>
  </w:style>
  <w:style w:type="paragraph" w:styleId="30">
    <w:name w:val="Salutation"/>
    <w:basedOn w:val="1"/>
    <w:next w:val="1"/>
    <w:link w:val="179"/>
    <w:qFormat/>
    <w:uiPriority w:val="0"/>
    <w:rPr>
      <w:sz w:val="21"/>
    </w:rPr>
  </w:style>
  <w:style w:type="paragraph" w:styleId="31">
    <w:name w:val="Body Text 3"/>
    <w:basedOn w:val="1"/>
    <w:link w:val="193"/>
    <w:qFormat/>
    <w:uiPriority w:val="0"/>
    <w:pPr>
      <w:spacing w:after="120"/>
    </w:pPr>
    <w:rPr>
      <w:sz w:val="16"/>
      <w:szCs w:val="16"/>
    </w:rPr>
  </w:style>
  <w:style w:type="paragraph" w:styleId="32">
    <w:name w:val="Closing"/>
    <w:basedOn w:val="1"/>
    <w:link w:val="184"/>
    <w:qFormat/>
    <w:uiPriority w:val="0"/>
    <w:pPr>
      <w:ind w:left="100" w:leftChars="2100"/>
    </w:pPr>
    <w:rPr>
      <w:sz w:val="21"/>
    </w:rPr>
  </w:style>
  <w:style w:type="paragraph" w:styleId="33">
    <w:name w:val="List Bullet 3"/>
    <w:basedOn w:val="1"/>
    <w:qFormat/>
    <w:uiPriority w:val="0"/>
    <w:pPr>
      <w:numPr>
        <w:ilvl w:val="0"/>
        <w:numId w:val="5"/>
      </w:numPr>
      <w:contextualSpacing/>
    </w:pPr>
    <w:rPr>
      <w:sz w:val="21"/>
    </w:rPr>
  </w:style>
  <w:style w:type="paragraph" w:styleId="34">
    <w:name w:val="Body Text"/>
    <w:basedOn w:val="1"/>
    <w:link w:val="164"/>
    <w:qFormat/>
    <w:uiPriority w:val="0"/>
    <w:pPr>
      <w:widowControl/>
      <w:spacing w:after="120"/>
      <w:jc w:val="left"/>
    </w:pPr>
    <w:rPr>
      <w:kern w:val="0"/>
      <w:szCs w:val="20"/>
    </w:rPr>
  </w:style>
  <w:style w:type="paragraph" w:styleId="35">
    <w:name w:val="Body Text Indent"/>
    <w:basedOn w:val="1"/>
    <w:link w:val="168"/>
    <w:qFormat/>
    <w:uiPriority w:val="0"/>
    <w:pPr>
      <w:ind w:firstLine="360"/>
    </w:pPr>
    <w:rPr>
      <w:sz w:val="18"/>
      <w:szCs w:val="20"/>
    </w:rPr>
  </w:style>
  <w:style w:type="paragraph" w:styleId="36">
    <w:name w:val="List Number 3"/>
    <w:basedOn w:val="1"/>
    <w:qFormat/>
    <w:uiPriority w:val="0"/>
    <w:pPr>
      <w:numPr>
        <w:ilvl w:val="0"/>
        <w:numId w:val="6"/>
      </w:numPr>
      <w:contextualSpacing/>
    </w:pPr>
    <w:rPr>
      <w:sz w:val="21"/>
    </w:rPr>
  </w:style>
  <w:style w:type="paragraph" w:styleId="37">
    <w:name w:val="List 2"/>
    <w:basedOn w:val="1"/>
    <w:qFormat/>
    <w:uiPriority w:val="0"/>
    <w:pPr>
      <w:ind w:left="100" w:leftChars="200" w:hanging="200" w:hangingChars="200"/>
    </w:pPr>
    <w:rPr>
      <w:sz w:val="21"/>
    </w:rPr>
  </w:style>
  <w:style w:type="paragraph" w:styleId="38">
    <w:name w:val="List Continue"/>
    <w:basedOn w:val="1"/>
    <w:qFormat/>
    <w:uiPriority w:val="0"/>
    <w:pPr>
      <w:spacing w:after="120"/>
      <w:ind w:left="420" w:leftChars="200"/>
      <w:contextualSpacing/>
    </w:pPr>
    <w:rPr>
      <w:sz w:val="21"/>
    </w:rPr>
  </w:style>
  <w:style w:type="paragraph" w:styleId="39">
    <w:name w:val="Block Text"/>
    <w:basedOn w:val="1"/>
    <w:qFormat/>
    <w:uiPriority w:val="0"/>
    <w:pPr>
      <w:snapToGrid w:val="0"/>
      <w:spacing w:line="360" w:lineRule="auto"/>
      <w:ind w:left="1" w:right="26"/>
    </w:pPr>
    <w:rPr>
      <w:rFonts w:ascii="宋体" w:hAnsi="宋体"/>
      <w:color w:val="FF0000"/>
      <w:sz w:val="20"/>
      <w:szCs w:val="30"/>
    </w:rPr>
  </w:style>
  <w:style w:type="paragraph" w:styleId="40">
    <w:name w:val="List Bullet 2"/>
    <w:basedOn w:val="1"/>
    <w:qFormat/>
    <w:uiPriority w:val="0"/>
    <w:pPr>
      <w:numPr>
        <w:ilvl w:val="0"/>
        <w:numId w:val="7"/>
      </w:numPr>
      <w:contextualSpacing/>
    </w:pPr>
    <w:rPr>
      <w:sz w:val="21"/>
    </w:rPr>
  </w:style>
  <w:style w:type="paragraph" w:styleId="41">
    <w:name w:val="HTML Address"/>
    <w:basedOn w:val="1"/>
    <w:link w:val="176"/>
    <w:qFormat/>
    <w:uiPriority w:val="0"/>
    <w:rPr>
      <w:i/>
      <w:iCs/>
      <w:sz w:val="21"/>
    </w:rPr>
  </w:style>
  <w:style w:type="paragraph" w:styleId="42">
    <w:name w:val="index 4"/>
    <w:basedOn w:val="1"/>
    <w:next w:val="1"/>
    <w:qFormat/>
    <w:uiPriority w:val="0"/>
    <w:pPr>
      <w:ind w:left="600" w:leftChars="600"/>
    </w:pPr>
    <w:rPr>
      <w:sz w:val="21"/>
    </w:rPr>
  </w:style>
  <w:style w:type="paragraph" w:styleId="43">
    <w:name w:val="toc 5"/>
    <w:basedOn w:val="1"/>
    <w:next w:val="1"/>
    <w:qFormat/>
    <w:uiPriority w:val="0"/>
    <w:pPr>
      <w:ind w:left="1680" w:leftChars="800"/>
    </w:pPr>
    <w:rPr>
      <w:sz w:val="21"/>
    </w:rPr>
  </w:style>
  <w:style w:type="paragraph" w:styleId="44">
    <w:name w:val="toc 3"/>
    <w:basedOn w:val="1"/>
    <w:next w:val="1"/>
    <w:qFormat/>
    <w:uiPriority w:val="39"/>
    <w:pPr>
      <w:ind w:left="840" w:leftChars="400"/>
    </w:pPr>
    <w:rPr>
      <w:sz w:val="21"/>
    </w:rPr>
  </w:style>
  <w:style w:type="paragraph" w:styleId="45">
    <w:name w:val="Plain Text"/>
    <w:basedOn w:val="1"/>
    <w:link w:val="167"/>
    <w:qFormat/>
    <w:uiPriority w:val="99"/>
    <w:rPr>
      <w:rFonts w:ascii="宋体" w:hAnsi="Courier New"/>
      <w:sz w:val="21"/>
      <w:szCs w:val="20"/>
    </w:rPr>
  </w:style>
  <w:style w:type="paragraph" w:styleId="46">
    <w:name w:val="List Bullet 5"/>
    <w:basedOn w:val="1"/>
    <w:qFormat/>
    <w:uiPriority w:val="0"/>
    <w:pPr>
      <w:numPr>
        <w:ilvl w:val="0"/>
        <w:numId w:val="8"/>
      </w:numPr>
      <w:contextualSpacing/>
    </w:pPr>
    <w:rPr>
      <w:sz w:val="21"/>
    </w:rPr>
  </w:style>
  <w:style w:type="paragraph" w:styleId="47">
    <w:name w:val="List Number 4"/>
    <w:basedOn w:val="1"/>
    <w:qFormat/>
    <w:uiPriority w:val="0"/>
    <w:pPr>
      <w:numPr>
        <w:ilvl w:val="0"/>
        <w:numId w:val="9"/>
      </w:numPr>
      <w:contextualSpacing/>
    </w:pPr>
    <w:rPr>
      <w:sz w:val="21"/>
    </w:rPr>
  </w:style>
  <w:style w:type="paragraph" w:styleId="48">
    <w:name w:val="toc 8"/>
    <w:basedOn w:val="1"/>
    <w:next w:val="1"/>
    <w:qFormat/>
    <w:uiPriority w:val="0"/>
    <w:pPr>
      <w:ind w:left="2940" w:leftChars="1400"/>
    </w:pPr>
    <w:rPr>
      <w:sz w:val="21"/>
    </w:rPr>
  </w:style>
  <w:style w:type="paragraph" w:styleId="49">
    <w:name w:val="index 3"/>
    <w:basedOn w:val="1"/>
    <w:next w:val="1"/>
    <w:qFormat/>
    <w:uiPriority w:val="0"/>
    <w:pPr>
      <w:ind w:left="400" w:leftChars="400"/>
    </w:pPr>
    <w:rPr>
      <w:sz w:val="21"/>
    </w:rPr>
  </w:style>
  <w:style w:type="paragraph" w:styleId="50">
    <w:name w:val="Date"/>
    <w:basedOn w:val="1"/>
    <w:next w:val="1"/>
    <w:link w:val="187"/>
    <w:qFormat/>
    <w:uiPriority w:val="99"/>
    <w:pPr>
      <w:ind w:left="100" w:leftChars="2500"/>
    </w:pPr>
    <w:rPr>
      <w:sz w:val="21"/>
    </w:rPr>
  </w:style>
  <w:style w:type="paragraph" w:styleId="51">
    <w:name w:val="Body Text Indent 2"/>
    <w:basedOn w:val="1"/>
    <w:link w:val="169"/>
    <w:qFormat/>
    <w:uiPriority w:val="0"/>
    <w:pPr>
      <w:spacing w:line="360" w:lineRule="atLeast"/>
      <w:ind w:left="420"/>
    </w:pPr>
    <w:rPr>
      <w:rFonts w:ascii="宋体"/>
      <w:color w:val="FF0000"/>
      <w:sz w:val="30"/>
      <w:szCs w:val="20"/>
    </w:rPr>
  </w:style>
  <w:style w:type="paragraph" w:styleId="52">
    <w:name w:val="endnote text"/>
    <w:basedOn w:val="1"/>
    <w:link w:val="174"/>
    <w:semiHidden/>
    <w:qFormat/>
    <w:uiPriority w:val="0"/>
    <w:pPr>
      <w:snapToGrid w:val="0"/>
      <w:jc w:val="left"/>
    </w:pPr>
    <w:rPr>
      <w:sz w:val="21"/>
    </w:rPr>
  </w:style>
  <w:style w:type="paragraph" w:styleId="53">
    <w:name w:val="List Continue 5"/>
    <w:basedOn w:val="1"/>
    <w:qFormat/>
    <w:uiPriority w:val="0"/>
    <w:pPr>
      <w:spacing w:after="120"/>
      <w:ind w:left="2100" w:leftChars="1000"/>
      <w:contextualSpacing/>
    </w:pPr>
    <w:rPr>
      <w:sz w:val="21"/>
    </w:rPr>
  </w:style>
  <w:style w:type="paragraph" w:styleId="54">
    <w:name w:val="Balloon Text"/>
    <w:basedOn w:val="1"/>
    <w:link w:val="171"/>
    <w:qFormat/>
    <w:uiPriority w:val="99"/>
    <w:rPr>
      <w:sz w:val="18"/>
      <w:szCs w:val="18"/>
    </w:rPr>
  </w:style>
  <w:style w:type="paragraph" w:styleId="55">
    <w:name w:val="footer"/>
    <w:basedOn w:val="1"/>
    <w:link w:val="163"/>
    <w:qFormat/>
    <w:uiPriority w:val="99"/>
    <w:pPr>
      <w:tabs>
        <w:tab w:val="center" w:pos="4153"/>
        <w:tab w:val="right" w:pos="8306"/>
      </w:tabs>
      <w:snapToGrid w:val="0"/>
      <w:jc w:val="left"/>
    </w:pPr>
    <w:rPr>
      <w:sz w:val="18"/>
      <w:szCs w:val="18"/>
    </w:rPr>
  </w:style>
  <w:style w:type="paragraph" w:styleId="56">
    <w:name w:val="envelope return"/>
    <w:basedOn w:val="1"/>
    <w:qFormat/>
    <w:uiPriority w:val="0"/>
    <w:pPr>
      <w:snapToGrid w:val="0"/>
    </w:pPr>
    <w:rPr>
      <w:rFonts w:ascii="Cambria" w:hAnsi="Cambria" w:cs="黑体"/>
      <w:sz w:val="21"/>
    </w:rPr>
  </w:style>
  <w:style w:type="paragraph" w:styleId="57">
    <w:name w:val="header"/>
    <w:basedOn w:val="1"/>
    <w:link w:val="166"/>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86"/>
    <w:qFormat/>
    <w:uiPriority w:val="0"/>
    <w:pPr>
      <w:ind w:left="100" w:leftChars="2100"/>
    </w:pPr>
    <w:rPr>
      <w:sz w:val="21"/>
    </w:rPr>
  </w:style>
  <w:style w:type="paragraph" w:styleId="59">
    <w:name w:val="toc 1"/>
    <w:basedOn w:val="1"/>
    <w:next w:val="1"/>
    <w:qFormat/>
    <w:uiPriority w:val="0"/>
    <w:rPr>
      <w:sz w:val="21"/>
    </w:rPr>
  </w:style>
  <w:style w:type="paragraph" w:styleId="60">
    <w:name w:val="List Continue 4"/>
    <w:basedOn w:val="1"/>
    <w:qFormat/>
    <w:uiPriority w:val="0"/>
    <w:pPr>
      <w:spacing w:after="120"/>
      <w:ind w:left="1680" w:leftChars="800"/>
      <w:contextualSpacing/>
    </w:pPr>
    <w:rPr>
      <w:sz w:val="21"/>
    </w:rPr>
  </w:style>
  <w:style w:type="paragraph" w:styleId="61">
    <w:name w:val="toc 4"/>
    <w:basedOn w:val="1"/>
    <w:next w:val="1"/>
    <w:qFormat/>
    <w:uiPriority w:val="0"/>
    <w:pPr>
      <w:ind w:left="1260" w:leftChars="600"/>
    </w:pPr>
    <w:rPr>
      <w:sz w:val="21"/>
    </w:rPr>
  </w:style>
  <w:style w:type="paragraph" w:styleId="62">
    <w:name w:val="index heading"/>
    <w:basedOn w:val="1"/>
    <w:next w:val="63"/>
    <w:qFormat/>
    <w:uiPriority w:val="0"/>
    <w:rPr>
      <w:rFonts w:ascii="Cambria" w:hAnsi="Cambria" w:cs="黑体"/>
      <w:b/>
      <w:bCs/>
      <w:sz w:val="21"/>
    </w:rPr>
  </w:style>
  <w:style w:type="paragraph" w:styleId="63">
    <w:name w:val="index 1"/>
    <w:basedOn w:val="1"/>
    <w:next w:val="1"/>
    <w:qFormat/>
    <w:uiPriority w:val="0"/>
    <w:rPr>
      <w:sz w:val="21"/>
    </w:rPr>
  </w:style>
  <w:style w:type="paragraph" w:styleId="64">
    <w:name w:val="Subtitle"/>
    <w:basedOn w:val="1"/>
    <w:next w:val="1"/>
    <w:link w:val="181"/>
    <w:qFormat/>
    <w:uiPriority w:val="0"/>
    <w:pPr>
      <w:spacing w:before="240" w:after="60" w:line="312" w:lineRule="auto"/>
      <w:jc w:val="center"/>
      <w:outlineLvl w:val="1"/>
    </w:pPr>
    <w:rPr>
      <w:rFonts w:ascii="Cambria" w:hAnsi="Cambria" w:cs="黑体"/>
      <w:b/>
      <w:bCs/>
      <w:kern w:val="28"/>
      <w:sz w:val="32"/>
      <w:szCs w:val="32"/>
    </w:rPr>
  </w:style>
  <w:style w:type="paragraph" w:styleId="65">
    <w:name w:val="List Number 5"/>
    <w:basedOn w:val="1"/>
    <w:qFormat/>
    <w:uiPriority w:val="0"/>
    <w:pPr>
      <w:numPr>
        <w:ilvl w:val="0"/>
        <w:numId w:val="10"/>
      </w:numPr>
      <w:contextualSpacing/>
    </w:pPr>
    <w:rPr>
      <w:sz w:val="21"/>
    </w:rPr>
  </w:style>
  <w:style w:type="paragraph" w:styleId="66">
    <w:name w:val="List"/>
    <w:basedOn w:val="1"/>
    <w:qFormat/>
    <w:uiPriority w:val="0"/>
    <w:pPr>
      <w:ind w:left="200" w:hanging="200" w:hangingChars="200"/>
      <w:contextualSpacing/>
    </w:pPr>
    <w:rPr>
      <w:sz w:val="21"/>
    </w:rPr>
  </w:style>
  <w:style w:type="paragraph" w:styleId="67">
    <w:name w:val="footnote text"/>
    <w:basedOn w:val="1"/>
    <w:link w:val="183"/>
    <w:qFormat/>
    <w:uiPriority w:val="0"/>
    <w:pPr>
      <w:snapToGrid w:val="0"/>
      <w:jc w:val="left"/>
    </w:pPr>
    <w:rPr>
      <w:sz w:val="18"/>
      <w:szCs w:val="18"/>
    </w:rPr>
  </w:style>
  <w:style w:type="paragraph" w:styleId="68">
    <w:name w:val="toc 6"/>
    <w:basedOn w:val="1"/>
    <w:next w:val="1"/>
    <w:qFormat/>
    <w:uiPriority w:val="0"/>
    <w:pPr>
      <w:ind w:left="2100" w:leftChars="1000"/>
    </w:pPr>
    <w:rPr>
      <w:sz w:val="21"/>
    </w:rPr>
  </w:style>
  <w:style w:type="paragraph" w:styleId="69">
    <w:name w:val="List 5"/>
    <w:basedOn w:val="1"/>
    <w:qFormat/>
    <w:uiPriority w:val="0"/>
    <w:pPr>
      <w:ind w:left="100" w:leftChars="800" w:hanging="200" w:hangingChars="200"/>
      <w:contextualSpacing/>
    </w:pPr>
    <w:rPr>
      <w:sz w:val="21"/>
    </w:rPr>
  </w:style>
  <w:style w:type="paragraph" w:styleId="70">
    <w:name w:val="Body Text Indent 3"/>
    <w:basedOn w:val="1"/>
    <w:link w:val="170"/>
    <w:qFormat/>
    <w:uiPriority w:val="0"/>
    <w:pPr>
      <w:spacing w:line="400" w:lineRule="exact"/>
      <w:ind w:firstLine="420"/>
    </w:pPr>
    <w:rPr>
      <w:rFonts w:ascii="宋体"/>
      <w:sz w:val="21"/>
      <w:szCs w:val="20"/>
    </w:rPr>
  </w:style>
  <w:style w:type="paragraph" w:styleId="71">
    <w:name w:val="index 7"/>
    <w:basedOn w:val="1"/>
    <w:next w:val="1"/>
    <w:qFormat/>
    <w:uiPriority w:val="0"/>
    <w:pPr>
      <w:ind w:left="1200" w:leftChars="1200"/>
    </w:pPr>
    <w:rPr>
      <w:sz w:val="21"/>
    </w:rPr>
  </w:style>
  <w:style w:type="paragraph" w:styleId="72">
    <w:name w:val="index 9"/>
    <w:basedOn w:val="1"/>
    <w:next w:val="1"/>
    <w:qFormat/>
    <w:uiPriority w:val="0"/>
    <w:pPr>
      <w:ind w:left="1600" w:leftChars="1600"/>
    </w:pPr>
    <w:rPr>
      <w:sz w:val="21"/>
    </w:rPr>
  </w:style>
  <w:style w:type="paragraph" w:styleId="73">
    <w:name w:val="table of figures"/>
    <w:basedOn w:val="1"/>
    <w:next w:val="1"/>
    <w:qFormat/>
    <w:uiPriority w:val="0"/>
    <w:pPr>
      <w:ind w:left="200" w:leftChars="200" w:hanging="200" w:hangingChars="200"/>
    </w:pPr>
    <w:rPr>
      <w:sz w:val="21"/>
    </w:rPr>
  </w:style>
  <w:style w:type="paragraph" w:styleId="74">
    <w:name w:val="toc 2"/>
    <w:basedOn w:val="1"/>
    <w:next w:val="1"/>
    <w:qFormat/>
    <w:uiPriority w:val="39"/>
    <w:pPr>
      <w:ind w:left="420" w:leftChars="200"/>
    </w:pPr>
    <w:rPr>
      <w:sz w:val="21"/>
    </w:rPr>
  </w:style>
  <w:style w:type="paragraph" w:styleId="75">
    <w:name w:val="toc 9"/>
    <w:basedOn w:val="1"/>
    <w:next w:val="1"/>
    <w:qFormat/>
    <w:uiPriority w:val="0"/>
    <w:pPr>
      <w:ind w:left="3360" w:leftChars="1600"/>
    </w:pPr>
    <w:rPr>
      <w:sz w:val="21"/>
    </w:rPr>
  </w:style>
  <w:style w:type="paragraph" w:styleId="76">
    <w:name w:val="Body Text 2"/>
    <w:basedOn w:val="1"/>
    <w:link w:val="165"/>
    <w:qFormat/>
    <w:uiPriority w:val="0"/>
    <w:pPr>
      <w:jc w:val="left"/>
    </w:pPr>
    <w:rPr>
      <w:rFonts w:ascii="宋体" w:hAnsi="宋体"/>
      <w:sz w:val="21"/>
    </w:rPr>
  </w:style>
  <w:style w:type="paragraph" w:styleId="77">
    <w:name w:val="List 4"/>
    <w:basedOn w:val="1"/>
    <w:qFormat/>
    <w:uiPriority w:val="0"/>
    <w:pPr>
      <w:ind w:left="100" w:leftChars="600" w:hanging="200" w:hangingChars="200"/>
      <w:contextualSpacing/>
    </w:pPr>
    <w:rPr>
      <w:sz w:val="21"/>
    </w:rPr>
  </w:style>
  <w:style w:type="paragraph" w:styleId="78">
    <w:name w:val="List Continue 2"/>
    <w:basedOn w:val="1"/>
    <w:qFormat/>
    <w:uiPriority w:val="0"/>
    <w:pPr>
      <w:spacing w:after="120"/>
      <w:ind w:left="840" w:leftChars="400"/>
      <w:contextualSpacing/>
    </w:pPr>
    <w:rPr>
      <w:sz w:val="21"/>
    </w:rPr>
  </w:style>
  <w:style w:type="paragraph" w:styleId="79">
    <w:name w:val="Message Header"/>
    <w:basedOn w:val="1"/>
    <w:link w:val="18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rPr>
  </w:style>
  <w:style w:type="paragraph" w:styleId="80">
    <w:name w:val="HTML Preformatted"/>
    <w:basedOn w:val="1"/>
    <w:link w:val="177"/>
    <w:qFormat/>
    <w:uiPriority w:val="0"/>
    <w:rPr>
      <w:rFonts w:ascii="Courier New" w:hAnsi="Courier New" w:cs="Courier New"/>
      <w:sz w:val="20"/>
      <w:szCs w:val="20"/>
    </w:rPr>
  </w:style>
  <w:style w:type="paragraph" w:styleId="81">
    <w:name w:val="Normal (Web)"/>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rPr>
  </w:style>
  <w:style w:type="paragraph" w:styleId="82">
    <w:name w:val="List Continue 3"/>
    <w:basedOn w:val="1"/>
    <w:qFormat/>
    <w:uiPriority w:val="0"/>
    <w:pPr>
      <w:spacing w:after="120"/>
      <w:ind w:left="1260" w:leftChars="600"/>
      <w:contextualSpacing/>
    </w:pPr>
    <w:rPr>
      <w:sz w:val="21"/>
    </w:rPr>
  </w:style>
  <w:style w:type="paragraph" w:styleId="83">
    <w:name w:val="index 2"/>
    <w:basedOn w:val="1"/>
    <w:next w:val="1"/>
    <w:qFormat/>
    <w:uiPriority w:val="0"/>
    <w:pPr>
      <w:ind w:left="200" w:leftChars="200"/>
    </w:pPr>
    <w:rPr>
      <w:sz w:val="21"/>
    </w:rPr>
  </w:style>
  <w:style w:type="paragraph" w:styleId="84">
    <w:name w:val="Title"/>
    <w:basedOn w:val="1"/>
    <w:next w:val="1"/>
    <w:link w:val="178"/>
    <w:qFormat/>
    <w:uiPriority w:val="0"/>
    <w:pPr>
      <w:spacing w:before="240" w:after="60"/>
      <w:jc w:val="center"/>
      <w:outlineLvl w:val="0"/>
    </w:pPr>
    <w:rPr>
      <w:rFonts w:ascii="Cambria" w:hAnsi="Cambria" w:cs="黑体"/>
      <w:b/>
      <w:bCs/>
      <w:sz w:val="32"/>
      <w:szCs w:val="32"/>
    </w:rPr>
  </w:style>
  <w:style w:type="paragraph" w:styleId="85">
    <w:name w:val="annotation subject"/>
    <w:basedOn w:val="28"/>
    <w:next w:val="28"/>
    <w:link w:val="173"/>
    <w:qFormat/>
    <w:uiPriority w:val="99"/>
    <w:rPr>
      <w:b/>
      <w:bCs/>
    </w:rPr>
  </w:style>
  <w:style w:type="paragraph" w:styleId="86">
    <w:name w:val="Body Text First Indent"/>
    <w:basedOn w:val="34"/>
    <w:link w:val="191"/>
    <w:qFormat/>
    <w:uiPriority w:val="0"/>
    <w:pPr>
      <w:widowControl w:val="0"/>
      <w:ind w:firstLine="420" w:firstLineChars="100"/>
      <w:jc w:val="both"/>
    </w:pPr>
    <w:rPr>
      <w:kern w:val="2"/>
      <w:sz w:val="21"/>
      <w:szCs w:val="24"/>
    </w:rPr>
  </w:style>
  <w:style w:type="paragraph" w:styleId="87">
    <w:name w:val="Body Text First Indent 2"/>
    <w:basedOn w:val="35"/>
    <w:link w:val="192"/>
    <w:qFormat/>
    <w:uiPriority w:val="0"/>
    <w:pPr>
      <w:spacing w:after="120"/>
      <w:ind w:left="420" w:leftChars="200" w:firstLine="420" w:firstLineChars="200"/>
    </w:pPr>
    <w:rPr>
      <w:sz w:val="21"/>
      <w:szCs w:val="24"/>
    </w:rPr>
  </w:style>
  <w:style w:type="table" w:styleId="89">
    <w:name w:val="Table Grid"/>
    <w:basedOn w:val="88"/>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qFormat/>
    <w:uiPriority w:val="22"/>
    <w:rPr>
      <w:b/>
      <w:bCs/>
    </w:rPr>
  </w:style>
  <w:style w:type="character" w:styleId="92">
    <w:name w:val="endnote reference"/>
    <w:semiHidden/>
    <w:qFormat/>
    <w:uiPriority w:val="0"/>
    <w:rPr>
      <w:vertAlign w:val="superscript"/>
    </w:rPr>
  </w:style>
  <w:style w:type="character" w:styleId="93">
    <w:name w:val="page number"/>
    <w:basedOn w:val="90"/>
    <w:qFormat/>
    <w:uiPriority w:val="0"/>
  </w:style>
  <w:style w:type="character" w:styleId="94">
    <w:name w:val="FollowedHyperlink"/>
    <w:basedOn w:val="90"/>
    <w:unhideWhenUsed/>
    <w:qFormat/>
    <w:uiPriority w:val="99"/>
    <w:rPr>
      <w:color w:val="800080"/>
      <w:u w:val="single"/>
    </w:rPr>
  </w:style>
  <w:style w:type="character" w:styleId="95">
    <w:name w:val="Hyperlink"/>
    <w:qFormat/>
    <w:uiPriority w:val="99"/>
    <w:rPr>
      <w:rFonts w:ascii="??" w:hAnsi="??" w:cs="??"/>
      <w:color w:val="0000FF"/>
      <w:sz w:val="18"/>
      <w:szCs w:val="18"/>
      <w:u w:val="single"/>
    </w:rPr>
  </w:style>
  <w:style w:type="character" w:styleId="96">
    <w:name w:val="annotation reference"/>
    <w:qFormat/>
    <w:uiPriority w:val="0"/>
    <w:rPr>
      <w:sz w:val="21"/>
      <w:szCs w:val="21"/>
    </w:rPr>
  </w:style>
  <w:style w:type="paragraph" w:customStyle="1" w:styleId="97">
    <w:name w:val="修订1"/>
    <w:hidden/>
    <w:semiHidden/>
    <w:qFormat/>
    <w:uiPriority w:val="99"/>
    <w:rPr>
      <w:rFonts w:ascii="Times New Roman" w:hAnsi="Times New Roman" w:eastAsia="宋体" w:cs="Times New Roman"/>
      <w:szCs w:val="24"/>
      <w:lang w:val="en-US" w:eastAsia="zh-CN" w:bidi="ar-SA"/>
    </w:rPr>
  </w:style>
  <w:style w:type="paragraph" w:customStyle="1" w:styleId="9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9">
    <w:name w:val="列表段落1"/>
    <w:basedOn w:val="1"/>
    <w:link w:val="201"/>
    <w:qFormat/>
    <w:uiPriority w:val="34"/>
    <w:pPr>
      <w:ind w:firstLine="420" w:firstLineChars="200"/>
    </w:pPr>
    <w:rPr>
      <w:sz w:val="21"/>
    </w:rPr>
  </w:style>
  <w:style w:type="paragraph" w:customStyle="1" w:styleId="100">
    <w:name w:val="TOC 标题1"/>
    <w:basedOn w:val="3"/>
    <w:next w:val="1"/>
    <w:semiHidden/>
    <w:unhideWhenUsed/>
    <w:qFormat/>
    <w:uiPriority w:val="39"/>
    <w:pPr>
      <w:outlineLvl w:val="9"/>
    </w:pPr>
  </w:style>
  <w:style w:type="paragraph" w:customStyle="1" w:styleId="101">
    <w:name w:val="明显引用1"/>
    <w:basedOn w:val="1"/>
    <w:next w:val="1"/>
    <w:link w:val="185"/>
    <w:qFormat/>
    <w:uiPriority w:val="30"/>
    <w:pPr>
      <w:pBdr>
        <w:bottom w:val="single" w:color="4F81BD" w:sz="4" w:space="4"/>
      </w:pBdr>
      <w:spacing w:before="200" w:after="280"/>
      <w:ind w:left="936" w:right="936"/>
    </w:pPr>
    <w:rPr>
      <w:b/>
      <w:bCs/>
      <w:i/>
      <w:iCs/>
      <w:color w:val="4F81BD"/>
      <w:sz w:val="21"/>
    </w:rPr>
  </w:style>
  <w:style w:type="paragraph" w:customStyle="1" w:styleId="102">
    <w:name w:val="书目1"/>
    <w:basedOn w:val="1"/>
    <w:next w:val="1"/>
    <w:semiHidden/>
    <w:unhideWhenUsed/>
    <w:qFormat/>
    <w:uiPriority w:val="37"/>
    <w:rPr>
      <w:sz w:val="21"/>
    </w:rPr>
  </w:style>
  <w:style w:type="paragraph" w:customStyle="1" w:styleId="10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引用1"/>
    <w:basedOn w:val="1"/>
    <w:next w:val="1"/>
    <w:link w:val="190"/>
    <w:qFormat/>
    <w:uiPriority w:val="29"/>
    <w:rPr>
      <w:i/>
      <w:iCs/>
      <w:color w:val="000000"/>
      <w:sz w:val="21"/>
    </w:rPr>
  </w:style>
  <w:style w:type="paragraph" w:customStyle="1" w:styleId="105">
    <w:name w:val="无间隔11"/>
    <w:link w:val="198"/>
    <w:qFormat/>
    <w:uiPriority w:val="0"/>
    <w:rPr>
      <w:rFonts w:ascii="Times New Roman" w:hAnsi="Times New Roman" w:eastAsia="宋体" w:cs="Calibri"/>
      <w:sz w:val="22"/>
      <w:lang w:val="en-US" w:eastAsia="zh-CN" w:bidi="ar-SA"/>
    </w:rPr>
  </w:style>
  <w:style w:type="paragraph" w:customStyle="1" w:styleId="106">
    <w:name w:val="text_2"/>
    <w:basedOn w:val="1"/>
    <w:qFormat/>
    <w:uiPriority w:val="0"/>
    <w:pPr>
      <w:widowControl/>
      <w:spacing w:before="75" w:after="75" w:line="360" w:lineRule="auto"/>
      <w:ind w:firstLine="360"/>
      <w:jc w:val="left"/>
    </w:pPr>
    <w:rPr>
      <w:rFonts w:ascii="宋体" w:hAnsi="宋体" w:cs="宋体"/>
      <w:b/>
      <w:bCs/>
      <w:color w:val="163900"/>
      <w:kern w:val="0"/>
      <w:sz w:val="18"/>
      <w:szCs w:val="18"/>
    </w:rPr>
  </w:style>
  <w:style w:type="paragraph" w:customStyle="1" w:styleId="107">
    <w:name w:val="text_5"/>
    <w:basedOn w:val="1"/>
    <w:qFormat/>
    <w:uiPriority w:val="0"/>
    <w:pPr>
      <w:widowControl/>
      <w:spacing w:before="75" w:after="75" w:line="360" w:lineRule="auto"/>
      <w:ind w:firstLine="360"/>
      <w:jc w:val="left"/>
    </w:pPr>
    <w:rPr>
      <w:rFonts w:ascii="宋体" w:hAnsi="宋体" w:cs="宋体"/>
      <w:color w:val="000000"/>
      <w:kern w:val="0"/>
      <w:sz w:val="18"/>
      <w:szCs w:val="18"/>
    </w:rPr>
  </w:style>
  <w:style w:type="paragraph" w:customStyle="1" w:styleId="108">
    <w:name w:val="title01"/>
    <w:basedOn w:val="1"/>
    <w:qFormat/>
    <w:uiPriority w:val="0"/>
    <w:pPr>
      <w:widowControl/>
      <w:spacing w:before="75" w:after="75" w:line="330" w:lineRule="atLeast"/>
      <w:ind w:firstLine="360"/>
      <w:jc w:val="left"/>
    </w:pPr>
    <w:rPr>
      <w:rFonts w:ascii="??" w:hAnsi="??" w:cs="??"/>
      <w:b/>
      <w:bCs/>
      <w:color w:val="1D477F"/>
      <w:kern w:val="0"/>
      <w:sz w:val="27"/>
      <w:szCs w:val="27"/>
    </w:rPr>
  </w:style>
  <w:style w:type="paragraph" w:customStyle="1" w:styleId="109">
    <w:name w:val="列出段落1"/>
    <w:basedOn w:val="1"/>
    <w:qFormat/>
    <w:uiPriority w:val="0"/>
    <w:pPr>
      <w:ind w:firstLine="420" w:firstLineChars="200"/>
    </w:pPr>
    <w:rPr>
      <w:rFonts w:ascii="Calibri" w:hAnsi="Calibri" w:cs="Calibri"/>
      <w:sz w:val="21"/>
      <w:szCs w:val="21"/>
    </w:rPr>
  </w:style>
  <w:style w:type="paragraph" w:customStyle="1" w:styleId="110">
    <w:name w:val="shadow"/>
    <w:basedOn w:val="1"/>
    <w:qFormat/>
    <w:uiPriority w:val="0"/>
    <w:pPr>
      <w:widowControl/>
      <w:spacing w:before="75" w:after="75" w:line="330" w:lineRule="atLeast"/>
      <w:ind w:firstLine="360"/>
      <w:jc w:val="left"/>
    </w:pPr>
    <w:rPr>
      <w:rFonts w:ascii="宋体" w:hAnsi="宋体" w:cs="宋体"/>
      <w:color w:val="000000"/>
      <w:kern w:val="0"/>
      <w:sz w:val="18"/>
      <w:szCs w:val="18"/>
    </w:rPr>
  </w:style>
  <w:style w:type="paragraph" w:customStyle="1" w:styleId="111">
    <w:name w:val="text"/>
    <w:basedOn w:val="1"/>
    <w:qFormat/>
    <w:uiPriority w:val="0"/>
    <w:pPr>
      <w:widowControl/>
      <w:spacing w:before="75" w:after="75" w:line="360" w:lineRule="auto"/>
      <w:ind w:firstLine="360"/>
      <w:jc w:val="left"/>
    </w:pPr>
    <w:rPr>
      <w:rFonts w:ascii="宋体" w:hAnsi="宋体" w:cs="宋体"/>
      <w:color w:val="A4A4A4"/>
      <w:kern w:val="0"/>
      <w:sz w:val="18"/>
      <w:szCs w:val="18"/>
    </w:rPr>
  </w:style>
  <w:style w:type="paragraph" w:customStyle="1" w:styleId="112">
    <w:name w:val="redonly"/>
    <w:basedOn w:val="1"/>
    <w:qFormat/>
    <w:uiPriority w:val="0"/>
    <w:pPr>
      <w:widowControl/>
      <w:spacing w:before="75" w:after="75" w:line="330" w:lineRule="atLeast"/>
      <w:ind w:firstLine="360"/>
      <w:jc w:val="left"/>
    </w:pPr>
    <w:rPr>
      <w:rFonts w:ascii="宋体" w:hAnsi="宋体" w:cs="宋体"/>
      <w:color w:val="FF0000"/>
      <w:kern w:val="0"/>
      <w:sz w:val="18"/>
      <w:szCs w:val="18"/>
    </w:rPr>
  </w:style>
  <w:style w:type="paragraph" w:customStyle="1" w:styleId="113">
    <w:name w:val="列出段落11"/>
    <w:qFormat/>
    <w:uiPriority w:val="34"/>
    <w:pPr>
      <w:widowControl w:val="0"/>
      <w:ind w:firstLine="420"/>
      <w:jc w:val="both"/>
    </w:pPr>
    <w:rPr>
      <w:rFonts w:ascii="Calibri" w:hAnsi="Calibri" w:eastAsia="宋体" w:cs="Calibri"/>
      <w:color w:val="000000"/>
      <w:szCs w:val="21"/>
      <w:lang w:val="en-US" w:eastAsia="zh-CN" w:bidi="ar-SA"/>
    </w:rPr>
  </w:style>
  <w:style w:type="paragraph" w:customStyle="1" w:styleId="114">
    <w:name w:val="myfont"/>
    <w:basedOn w:val="1"/>
    <w:qFormat/>
    <w:uiPriority w:val="0"/>
    <w:pPr>
      <w:widowControl/>
      <w:spacing w:before="75" w:after="75" w:line="300" w:lineRule="atLeast"/>
      <w:ind w:firstLine="360"/>
      <w:jc w:val="left"/>
    </w:pPr>
    <w:rPr>
      <w:rFonts w:ascii="宋体" w:hAnsi="宋体" w:cs="宋体"/>
      <w:color w:val="666666"/>
      <w:kern w:val="0"/>
      <w:sz w:val="18"/>
      <w:szCs w:val="18"/>
    </w:rPr>
  </w:style>
  <w:style w:type="paragraph" w:customStyle="1" w:styleId="115">
    <w:name w:val="TOC 标题11"/>
    <w:basedOn w:val="3"/>
    <w:next w:val="1"/>
    <w:qFormat/>
    <w:uiPriority w:val="0"/>
    <w:pPr>
      <w:widowControl/>
      <w:spacing w:before="480" w:after="0" w:line="276" w:lineRule="auto"/>
      <w:jc w:val="left"/>
      <w:outlineLvl w:val="9"/>
    </w:pPr>
    <w:rPr>
      <w:rFonts w:ascii="Cambria" w:hAnsi="Cambria" w:cs="Cambria"/>
      <w:color w:val="365F91"/>
      <w:kern w:val="0"/>
      <w:sz w:val="28"/>
      <w:szCs w:val="28"/>
    </w:rPr>
  </w:style>
  <w:style w:type="paragraph" w:customStyle="1" w:styleId="116">
    <w:name w:val="title02"/>
    <w:basedOn w:val="1"/>
    <w:qFormat/>
    <w:uiPriority w:val="0"/>
    <w:pPr>
      <w:widowControl/>
      <w:spacing w:before="75" w:after="75" w:line="330" w:lineRule="atLeast"/>
      <w:ind w:firstLine="360"/>
      <w:jc w:val="left"/>
    </w:pPr>
    <w:rPr>
      <w:rFonts w:ascii="宋体" w:hAnsi="宋体" w:cs="宋体"/>
      <w:color w:val="666666"/>
      <w:kern w:val="0"/>
      <w:sz w:val="18"/>
      <w:szCs w:val="18"/>
    </w:rPr>
  </w:style>
  <w:style w:type="paragraph" w:customStyle="1" w:styleId="117">
    <w:name w:val="text_3"/>
    <w:basedOn w:val="1"/>
    <w:qFormat/>
    <w:uiPriority w:val="0"/>
    <w:pPr>
      <w:widowControl/>
      <w:spacing w:before="75" w:after="75" w:line="360" w:lineRule="auto"/>
      <w:ind w:firstLine="360"/>
      <w:jc w:val="left"/>
    </w:pPr>
    <w:rPr>
      <w:rFonts w:ascii="宋体" w:hAnsi="宋体" w:cs="宋体"/>
      <w:b/>
      <w:bCs/>
      <w:color w:val="163900"/>
      <w:kern w:val="0"/>
    </w:rPr>
  </w:style>
  <w:style w:type="paragraph" w:customStyle="1" w:styleId="118">
    <w:name w:val="text_4"/>
    <w:basedOn w:val="1"/>
    <w:qFormat/>
    <w:uiPriority w:val="0"/>
    <w:pPr>
      <w:widowControl/>
      <w:spacing w:before="75" w:after="75" w:line="360" w:lineRule="auto"/>
      <w:ind w:firstLine="360"/>
      <w:jc w:val="left"/>
    </w:pPr>
    <w:rPr>
      <w:rFonts w:ascii="宋体" w:hAnsi="宋体" w:cs="宋体"/>
      <w:b/>
      <w:bCs/>
      <w:color w:val="163900"/>
      <w:kern w:val="0"/>
      <w:sz w:val="21"/>
      <w:szCs w:val="21"/>
    </w:rPr>
  </w:style>
  <w:style w:type="paragraph" w:customStyle="1" w:styleId="119">
    <w:name w:val="List Paragraph1"/>
    <w:qFormat/>
    <w:uiPriority w:val="0"/>
    <w:pPr>
      <w:widowControl w:val="0"/>
      <w:ind w:firstLine="420"/>
      <w:jc w:val="both"/>
    </w:pPr>
    <w:rPr>
      <w:rFonts w:ascii="Calibri" w:hAnsi="Calibri" w:eastAsia="宋体" w:cs="Calibri"/>
      <w:color w:val="000000"/>
      <w:szCs w:val="21"/>
      <w:lang w:val="en-US" w:eastAsia="zh-CN" w:bidi="ar-SA"/>
    </w:rPr>
  </w:style>
  <w:style w:type="paragraph" w:customStyle="1" w:styleId="120">
    <w:name w:val="text_1"/>
    <w:basedOn w:val="1"/>
    <w:qFormat/>
    <w:uiPriority w:val="0"/>
    <w:pPr>
      <w:widowControl/>
      <w:spacing w:before="75" w:after="75" w:line="360" w:lineRule="auto"/>
      <w:ind w:firstLine="360"/>
      <w:jc w:val="left"/>
    </w:pPr>
    <w:rPr>
      <w:rFonts w:ascii="宋体" w:hAnsi="宋体" w:cs="宋体"/>
      <w:b/>
      <w:bCs/>
      <w:color w:val="F1FBF0"/>
      <w:kern w:val="0"/>
      <w:sz w:val="18"/>
      <w:szCs w:val="18"/>
    </w:rPr>
  </w:style>
  <w:style w:type="paragraph" w:customStyle="1" w:styleId="121">
    <w:name w:val="样式1"/>
    <w:basedOn w:val="1"/>
    <w:qFormat/>
    <w:uiPriority w:val="0"/>
    <w:pPr>
      <w:tabs>
        <w:tab w:val="left" w:pos="709"/>
        <w:tab w:val="left" w:pos="840"/>
      </w:tabs>
      <w:ind w:left="840" w:hanging="360"/>
    </w:pPr>
    <w:rPr>
      <w:rFonts w:ascii="宋体" w:hAnsi="宋体"/>
      <w:sz w:val="21"/>
      <w:szCs w:val="21"/>
    </w:rPr>
  </w:style>
  <w:style w:type="paragraph" w:customStyle="1" w:styleId="122">
    <w:name w:val="表格"/>
    <w:basedOn w:val="1"/>
    <w:qFormat/>
    <w:uiPriority w:val="0"/>
    <w:pPr>
      <w:adjustRightInd w:val="0"/>
      <w:spacing w:before="40" w:after="40"/>
      <w:jc w:val="center"/>
    </w:pPr>
    <w:rPr>
      <w:rFonts w:hint="eastAsia" w:ascii="昆仑仿宋" w:eastAsia="昆仑仿宋"/>
      <w:kern w:val="0"/>
      <w:szCs w:val="20"/>
    </w:rPr>
  </w:style>
  <w:style w:type="paragraph" w:customStyle="1" w:styleId="12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4">
    <w:name w:val="xl64"/>
    <w:basedOn w:val="1"/>
    <w:qFormat/>
    <w:uiPriority w:val="0"/>
    <w:pPr>
      <w:widowControl/>
      <w:spacing w:before="100" w:beforeAutospacing="1" w:after="100" w:afterAutospacing="1"/>
      <w:jc w:val="left"/>
    </w:pPr>
    <w:rPr>
      <w:rFonts w:ascii="宋体" w:hAnsi="宋体" w:cs="宋体"/>
      <w:color w:val="000000"/>
      <w:kern w:val="0"/>
    </w:rPr>
  </w:style>
  <w:style w:type="paragraph" w:customStyle="1" w:styleId="12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12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rPr>
  </w:style>
  <w:style w:type="paragraph" w:customStyle="1" w:styleId="127">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rPr>
  </w:style>
  <w:style w:type="paragraph" w:customStyle="1" w:styleId="128">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rPr>
  </w:style>
  <w:style w:type="paragraph" w:customStyle="1" w:styleId="129">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rPr>
  </w:style>
  <w:style w:type="paragraph" w:customStyle="1" w:styleId="13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rPr>
  </w:style>
  <w:style w:type="paragraph" w:customStyle="1" w:styleId="131">
    <w:name w:val="xl71"/>
    <w:basedOn w:val="1"/>
    <w:qFormat/>
    <w:uiPriority w:val="0"/>
    <w:pPr>
      <w:widowControl/>
      <w:spacing w:before="100" w:beforeAutospacing="1" w:after="100" w:afterAutospacing="1"/>
      <w:jc w:val="left"/>
      <w:textAlignment w:val="top"/>
    </w:pPr>
    <w:rPr>
      <w:rFonts w:ascii="宋体" w:hAnsi="宋体" w:cs="宋体"/>
      <w:color w:val="000000"/>
      <w:kern w:val="0"/>
    </w:rPr>
  </w:style>
  <w:style w:type="paragraph" w:customStyle="1" w:styleId="13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rPr>
  </w:style>
  <w:style w:type="paragraph" w:customStyle="1" w:styleId="13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rPr>
  </w:style>
  <w:style w:type="paragraph" w:customStyle="1" w:styleId="13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135">
    <w:name w:val="xl75"/>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pPr>
    <w:rPr>
      <w:rFonts w:ascii="宋体" w:hAnsi="宋体" w:cs="宋体"/>
      <w:kern w:val="0"/>
    </w:rPr>
  </w:style>
  <w:style w:type="paragraph" w:customStyle="1" w:styleId="136">
    <w:name w:val="xl76"/>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left"/>
    </w:pPr>
    <w:rPr>
      <w:rFonts w:ascii="宋体" w:hAnsi="宋体" w:cs="宋体"/>
      <w:kern w:val="0"/>
    </w:rPr>
  </w:style>
  <w:style w:type="paragraph" w:customStyle="1" w:styleId="137">
    <w:name w:val="xl77"/>
    <w:basedOn w:val="1"/>
    <w:qFormat/>
    <w:uiPriority w:val="0"/>
    <w:pPr>
      <w:widowControl/>
      <w:spacing w:before="100" w:beforeAutospacing="1" w:after="100" w:afterAutospacing="1"/>
      <w:jc w:val="center"/>
    </w:pPr>
    <w:rPr>
      <w:rFonts w:ascii="宋体" w:hAnsi="宋体" w:cs="宋体"/>
      <w:kern w:val="0"/>
    </w:rPr>
  </w:style>
  <w:style w:type="paragraph" w:customStyle="1" w:styleId="138">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39">
    <w:name w:val="xl7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40">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4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42">
    <w:name w:val="xl82"/>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kern w:val="0"/>
    </w:rPr>
  </w:style>
  <w:style w:type="paragraph" w:customStyle="1" w:styleId="143">
    <w:name w:val="xl83"/>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rPr>
  </w:style>
  <w:style w:type="paragraph" w:customStyle="1" w:styleId="144">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rPr>
  </w:style>
  <w:style w:type="paragraph" w:customStyle="1" w:styleId="145">
    <w:name w:val="xl85"/>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rPr>
  </w:style>
  <w:style w:type="paragraph" w:customStyle="1" w:styleId="146">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rPr>
  </w:style>
  <w:style w:type="paragraph" w:customStyle="1" w:styleId="14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148">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rPr>
  </w:style>
  <w:style w:type="paragraph" w:customStyle="1" w:styleId="149">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rPr>
  </w:style>
  <w:style w:type="paragraph" w:customStyle="1" w:styleId="150">
    <w:name w:val="xl90"/>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rPr>
  </w:style>
  <w:style w:type="paragraph" w:customStyle="1" w:styleId="151">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rPr>
  </w:style>
  <w:style w:type="paragraph" w:customStyle="1" w:styleId="152">
    <w:name w:val="xl9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rPr>
  </w:style>
  <w:style w:type="paragraph" w:customStyle="1" w:styleId="153">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rPr>
  </w:style>
  <w:style w:type="character" w:customStyle="1" w:styleId="154">
    <w:name w:val="标题 1 字符"/>
    <w:basedOn w:val="90"/>
    <w:link w:val="3"/>
    <w:qFormat/>
    <w:uiPriority w:val="9"/>
    <w:rPr>
      <w:rFonts w:ascii="Times New Roman" w:hAnsi="Times New Roman" w:eastAsia="宋体" w:cs="Times New Roman"/>
      <w:b/>
      <w:bCs/>
      <w:kern w:val="44"/>
      <w:sz w:val="44"/>
      <w:szCs w:val="44"/>
    </w:rPr>
  </w:style>
  <w:style w:type="character" w:customStyle="1" w:styleId="155">
    <w:name w:val="标题 2 字符"/>
    <w:basedOn w:val="90"/>
    <w:link w:val="4"/>
    <w:qFormat/>
    <w:uiPriority w:val="0"/>
    <w:rPr>
      <w:rFonts w:ascii="Cambria" w:hAnsi="Cambria" w:eastAsia="宋体" w:cs="黑体"/>
      <w:b/>
      <w:bCs/>
      <w:sz w:val="32"/>
      <w:szCs w:val="32"/>
    </w:rPr>
  </w:style>
  <w:style w:type="character" w:customStyle="1" w:styleId="156">
    <w:name w:val="标题 3 字符"/>
    <w:basedOn w:val="90"/>
    <w:link w:val="5"/>
    <w:qFormat/>
    <w:uiPriority w:val="0"/>
    <w:rPr>
      <w:rFonts w:ascii="Times New Roman" w:hAnsi="Times New Roman" w:eastAsia="宋体" w:cs="Times New Roman"/>
      <w:b/>
      <w:bCs/>
      <w:sz w:val="32"/>
      <w:szCs w:val="32"/>
    </w:rPr>
  </w:style>
  <w:style w:type="character" w:customStyle="1" w:styleId="157">
    <w:name w:val="标题 4 字符"/>
    <w:basedOn w:val="90"/>
    <w:link w:val="6"/>
    <w:qFormat/>
    <w:uiPriority w:val="0"/>
    <w:rPr>
      <w:rFonts w:ascii="Cambria" w:hAnsi="Cambria" w:eastAsia="宋体" w:cs="黑体"/>
      <w:b/>
      <w:bCs/>
      <w:sz w:val="28"/>
      <w:szCs w:val="28"/>
    </w:rPr>
  </w:style>
  <w:style w:type="character" w:customStyle="1" w:styleId="158">
    <w:name w:val="标题 5 字符"/>
    <w:basedOn w:val="90"/>
    <w:link w:val="7"/>
    <w:qFormat/>
    <w:uiPriority w:val="0"/>
    <w:rPr>
      <w:rFonts w:ascii="Times New Roman" w:hAnsi="Times New Roman" w:eastAsia="宋体" w:cs="Times New Roman"/>
      <w:b/>
      <w:bCs/>
      <w:sz w:val="28"/>
      <w:szCs w:val="28"/>
    </w:rPr>
  </w:style>
  <w:style w:type="character" w:customStyle="1" w:styleId="159">
    <w:name w:val="标题 6 字符"/>
    <w:basedOn w:val="90"/>
    <w:link w:val="8"/>
    <w:semiHidden/>
    <w:qFormat/>
    <w:uiPriority w:val="0"/>
    <w:rPr>
      <w:rFonts w:ascii="Cambria" w:hAnsi="Cambria" w:eastAsia="宋体" w:cs="黑体"/>
      <w:b/>
      <w:bCs/>
      <w:sz w:val="24"/>
      <w:szCs w:val="24"/>
    </w:rPr>
  </w:style>
  <w:style w:type="character" w:customStyle="1" w:styleId="160">
    <w:name w:val="标题 7 字符"/>
    <w:basedOn w:val="90"/>
    <w:link w:val="9"/>
    <w:semiHidden/>
    <w:qFormat/>
    <w:uiPriority w:val="0"/>
    <w:rPr>
      <w:rFonts w:ascii="Times New Roman" w:hAnsi="Times New Roman" w:eastAsia="宋体" w:cs="Times New Roman"/>
      <w:b/>
      <w:bCs/>
      <w:sz w:val="24"/>
      <w:szCs w:val="24"/>
    </w:rPr>
  </w:style>
  <w:style w:type="character" w:customStyle="1" w:styleId="161">
    <w:name w:val="标题 8 字符"/>
    <w:basedOn w:val="90"/>
    <w:link w:val="10"/>
    <w:semiHidden/>
    <w:qFormat/>
    <w:uiPriority w:val="0"/>
    <w:rPr>
      <w:rFonts w:ascii="Cambria" w:hAnsi="Cambria" w:eastAsia="宋体" w:cs="黑体"/>
      <w:sz w:val="24"/>
      <w:szCs w:val="24"/>
    </w:rPr>
  </w:style>
  <w:style w:type="character" w:customStyle="1" w:styleId="162">
    <w:name w:val="标题 9 字符"/>
    <w:basedOn w:val="90"/>
    <w:link w:val="11"/>
    <w:semiHidden/>
    <w:qFormat/>
    <w:uiPriority w:val="0"/>
    <w:rPr>
      <w:rFonts w:ascii="Cambria" w:hAnsi="Cambria" w:eastAsia="宋体" w:cs="黑体"/>
      <w:szCs w:val="21"/>
    </w:rPr>
  </w:style>
  <w:style w:type="character" w:customStyle="1" w:styleId="163">
    <w:name w:val="页脚 字符"/>
    <w:basedOn w:val="90"/>
    <w:link w:val="55"/>
    <w:qFormat/>
    <w:uiPriority w:val="99"/>
    <w:rPr>
      <w:rFonts w:ascii="Times New Roman" w:hAnsi="Times New Roman" w:eastAsia="宋体" w:cs="Times New Roman"/>
      <w:sz w:val="18"/>
      <w:szCs w:val="18"/>
    </w:rPr>
  </w:style>
  <w:style w:type="character" w:customStyle="1" w:styleId="164">
    <w:name w:val="正文文本 字符"/>
    <w:basedOn w:val="90"/>
    <w:link w:val="34"/>
    <w:qFormat/>
    <w:uiPriority w:val="0"/>
    <w:rPr>
      <w:rFonts w:ascii="Times New Roman" w:hAnsi="Times New Roman" w:eastAsia="宋体" w:cs="Times New Roman"/>
      <w:kern w:val="0"/>
      <w:sz w:val="24"/>
      <w:szCs w:val="20"/>
    </w:rPr>
  </w:style>
  <w:style w:type="character" w:customStyle="1" w:styleId="165">
    <w:name w:val="正文文本 2 字符"/>
    <w:basedOn w:val="90"/>
    <w:link w:val="76"/>
    <w:qFormat/>
    <w:uiPriority w:val="0"/>
    <w:rPr>
      <w:rFonts w:ascii="宋体" w:hAnsi="宋体" w:eastAsia="宋体" w:cs="Times New Roman"/>
      <w:szCs w:val="24"/>
    </w:rPr>
  </w:style>
  <w:style w:type="character" w:customStyle="1" w:styleId="166">
    <w:name w:val="页眉 字符"/>
    <w:basedOn w:val="90"/>
    <w:link w:val="57"/>
    <w:qFormat/>
    <w:uiPriority w:val="99"/>
    <w:rPr>
      <w:rFonts w:ascii="Times New Roman" w:hAnsi="Times New Roman" w:eastAsia="宋体" w:cs="Times New Roman"/>
      <w:sz w:val="18"/>
      <w:szCs w:val="18"/>
    </w:rPr>
  </w:style>
  <w:style w:type="character" w:customStyle="1" w:styleId="167">
    <w:name w:val="纯文本 字符"/>
    <w:basedOn w:val="90"/>
    <w:link w:val="45"/>
    <w:qFormat/>
    <w:uiPriority w:val="99"/>
    <w:rPr>
      <w:rFonts w:ascii="宋体" w:hAnsi="Courier New" w:eastAsia="宋体" w:cs="Times New Roman"/>
      <w:szCs w:val="20"/>
    </w:rPr>
  </w:style>
  <w:style w:type="character" w:customStyle="1" w:styleId="168">
    <w:name w:val="正文文本缩进 字符"/>
    <w:basedOn w:val="90"/>
    <w:link w:val="35"/>
    <w:qFormat/>
    <w:uiPriority w:val="0"/>
    <w:rPr>
      <w:rFonts w:ascii="Times New Roman" w:hAnsi="Times New Roman" w:eastAsia="宋体" w:cs="Times New Roman"/>
      <w:sz w:val="18"/>
      <w:szCs w:val="20"/>
    </w:rPr>
  </w:style>
  <w:style w:type="character" w:customStyle="1" w:styleId="169">
    <w:name w:val="正文文本缩进 2 字符"/>
    <w:basedOn w:val="90"/>
    <w:link w:val="51"/>
    <w:qFormat/>
    <w:uiPriority w:val="0"/>
    <w:rPr>
      <w:rFonts w:ascii="宋体" w:hAnsi="Times New Roman" w:eastAsia="宋体" w:cs="Times New Roman"/>
      <w:color w:val="FF0000"/>
      <w:sz w:val="30"/>
      <w:szCs w:val="20"/>
    </w:rPr>
  </w:style>
  <w:style w:type="character" w:customStyle="1" w:styleId="170">
    <w:name w:val="正文文本缩进 3 字符"/>
    <w:basedOn w:val="90"/>
    <w:link w:val="70"/>
    <w:qFormat/>
    <w:uiPriority w:val="0"/>
    <w:rPr>
      <w:rFonts w:ascii="宋体" w:hAnsi="Times New Roman" w:eastAsia="宋体" w:cs="Times New Roman"/>
      <w:szCs w:val="20"/>
    </w:rPr>
  </w:style>
  <w:style w:type="character" w:customStyle="1" w:styleId="171">
    <w:name w:val="批注框文本 字符"/>
    <w:basedOn w:val="90"/>
    <w:link w:val="54"/>
    <w:qFormat/>
    <w:uiPriority w:val="99"/>
    <w:rPr>
      <w:rFonts w:ascii="Times New Roman" w:hAnsi="Times New Roman" w:eastAsia="宋体" w:cs="Times New Roman"/>
      <w:sz w:val="18"/>
      <w:szCs w:val="18"/>
    </w:rPr>
  </w:style>
  <w:style w:type="character" w:customStyle="1" w:styleId="172">
    <w:name w:val="批注文字 字符"/>
    <w:basedOn w:val="90"/>
    <w:link w:val="28"/>
    <w:qFormat/>
    <w:uiPriority w:val="0"/>
    <w:rPr>
      <w:rFonts w:ascii="Times New Roman" w:hAnsi="Times New Roman" w:eastAsia="宋体" w:cs="Times New Roman"/>
      <w:szCs w:val="24"/>
    </w:rPr>
  </w:style>
  <w:style w:type="character" w:customStyle="1" w:styleId="173">
    <w:name w:val="批注主题 字符"/>
    <w:basedOn w:val="172"/>
    <w:link w:val="85"/>
    <w:qFormat/>
    <w:uiPriority w:val="99"/>
    <w:rPr>
      <w:rFonts w:ascii="Times New Roman" w:hAnsi="Times New Roman" w:eastAsia="宋体" w:cs="Times New Roman"/>
      <w:b/>
      <w:bCs/>
      <w:szCs w:val="24"/>
    </w:rPr>
  </w:style>
  <w:style w:type="character" w:customStyle="1" w:styleId="174">
    <w:name w:val="尾注文本 字符"/>
    <w:basedOn w:val="90"/>
    <w:link w:val="52"/>
    <w:semiHidden/>
    <w:qFormat/>
    <w:uiPriority w:val="0"/>
    <w:rPr>
      <w:rFonts w:ascii="Times New Roman" w:hAnsi="Times New Roman" w:eastAsia="宋体" w:cs="Times New Roman"/>
      <w:szCs w:val="24"/>
    </w:rPr>
  </w:style>
  <w:style w:type="character" w:customStyle="1" w:styleId="175">
    <w:name w:val="tf1"/>
    <w:qFormat/>
    <w:uiPriority w:val="0"/>
    <w:rPr>
      <w:spacing w:val="300"/>
      <w:sz w:val="18"/>
      <w:szCs w:val="18"/>
    </w:rPr>
  </w:style>
  <w:style w:type="character" w:customStyle="1" w:styleId="176">
    <w:name w:val="HTML 地址 字符"/>
    <w:basedOn w:val="90"/>
    <w:link w:val="41"/>
    <w:qFormat/>
    <w:uiPriority w:val="0"/>
    <w:rPr>
      <w:rFonts w:ascii="Times New Roman" w:hAnsi="Times New Roman" w:eastAsia="宋体" w:cs="Times New Roman"/>
      <w:i/>
      <w:iCs/>
      <w:szCs w:val="24"/>
    </w:rPr>
  </w:style>
  <w:style w:type="character" w:customStyle="1" w:styleId="177">
    <w:name w:val="HTML 预设格式 字符"/>
    <w:basedOn w:val="90"/>
    <w:link w:val="80"/>
    <w:qFormat/>
    <w:uiPriority w:val="0"/>
    <w:rPr>
      <w:rFonts w:ascii="Courier New" w:hAnsi="Courier New" w:eastAsia="宋体" w:cs="Courier New"/>
      <w:sz w:val="20"/>
      <w:szCs w:val="20"/>
    </w:rPr>
  </w:style>
  <w:style w:type="character" w:customStyle="1" w:styleId="178">
    <w:name w:val="标题 字符"/>
    <w:basedOn w:val="90"/>
    <w:link w:val="84"/>
    <w:qFormat/>
    <w:uiPriority w:val="0"/>
    <w:rPr>
      <w:rFonts w:ascii="Cambria" w:hAnsi="Cambria" w:eastAsia="宋体" w:cs="黑体"/>
      <w:b/>
      <w:bCs/>
      <w:sz w:val="32"/>
      <w:szCs w:val="32"/>
    </w:rPr>
  </w:style>
  <w:style w:type="character" w:customStyle="1" w:styleId="179">
    <w:name w:val="称呼 字符"/>
    <w:basedOn w:val="90"/>
    <w:link w:val="30"/>
    <w:qFormat/>
    <w:uiPriority w:val="0"/>
    <w:rPr>
      <w:rFonts w:ascii="Times New Roman" w:hAnsi="Times New Roman" w:eastAsia="宋体" w:cs="Times New Roman"/>
      <w:szCs w:val="24"/>
    </w:rPr>
  </w:style>
  <w:style w:type="character" w:customStyle="1" w:styleId="180">
    <w:name w:val="电子邮件签名 字符"/>
    <w:basedOn w:val="90"/>
    <w:link w:val="19"/>
    <w:qFormat/>
    <w:uiPriority w:val="0"/>
    <w:rPr>
      <w:rFonts w:ascii="Times New Roman" w:hAnsi="Times New Roman" w:eastAsia="宋体" w:cs="Times New Roman"/>
      <w:szCs w:val="24"/>
    </w:rPr>
  </w:style>
  <w:style w:type="character" w:customStyle="1" w:styleId="181">
    <w:name w:val="副标题 字符"/>
    <w:basedOn w:val="90"/>
    <w:link w:val="64"/>
    <w:qFormat/>
    <w:uiPriority w:val="0"/>
    <w:rPr>
      <w:rFonts w:ascii="Cambria" w:hAnsi="Cambria" w:eastAsia="宋体" w:cs="黑体"/>
      <w:b/>
      <w:bCs/>
      <w:kern w:val="28"/>
      <w:sz w:val="32"/>
      <w:szCs w:val="32"/>
    </w:rPr>
  </w:style>
  <w:style w:type="character" w:customStyle="1" w:styleId="182">
    <w:name w:val="宏文本 字符"/>
    <w:basedOn w:val="90"/>
    <w:link w:val="2"/>
    <w:qFormat/>
    <w:uiPriority w:val="0"/>
    <w:rPr>
      <w:rFonts w:ascii="Courier New" w:hAnsi="Courier New" w:eastAsia="宋体" w:cs="Courier New"/>
      <w:sz w:val="24"/>
      <w:szCs w:val="24"/>
    </w:rPr>
  </w:style>
  <w:style w:type="character" w:customStyle="1" w:styleId="183">
    <w:name w:val="脚注文本 字符"/>
    <w:basedOn w:val="90"/>
    <w:link w:val="67"/>
    <w:qFormat/>
    <w:uiPriority w:val="0"/>
    <w:rPr>
      <w:rFonts w:ascii="Times New Roman" w:hAnsi="Times New Roman" w:eastAsia="宋体" w:cs="Times New Roman"/>
      <w:sz w:val="18"/>
      <w:szCs w:val="18"/>
    </w:rPr>
  </w:style>
  <w:style w:type="character" w:customStyle="1" w:styleId="184">
    <w:name w:val="结束语 字符"/>
    <w:basedOn w:val="90"/>
    <w:link w:val="32"/>
    <w:qFormat/>
    <w:uiPriority w:val="0"/>
    <w:rPr>
      <w:rFonts w:ascii="Times New Roman" w:hAnsi="Times New Roman" w:eastAsia="宋体" w:cs="Times New Roman"/>
      <w:szCs w:val="24"/>
    </w:rPr>
  </w:style>
  <w:style w:type="character" w:customStyle="1" w:styleId="185">
    <w:name w:val="明显引用 字符"/>
    <w:basedOn w:val="90"/>
    <w:link w:val="101"/>
    <w:qFormat/>
    <w:uiPriority w:val="30"/>
    <w:rPr>
      <w:rFonts w:ascii="Times New Roman" w:hAnsi="Times New Roman" w:eastAsia="宋体" w:cs="Times New Roman"/>
      <w:b/>
      <w:bCs/>
      <w:i/>
      <w:iCs/>
      <w:color w:val="4F81BD"/>
      <w:szCs w:val="24"/>
    </w:rPr>
  </w:style>
  <w:style w:type="character" w:customStyle="1" w:styleId="186">
    <w:name w:val="签名 字符"/>
    <w:basedOn w:val="90"/>
    <w:link w:val="58"/>
    <w:qFormat/>
    <w:uiPriority w:val="0"/>
    <w:rPr>
      <w:rFonts w:ascii="Times New Roman" w:hAnsi="Times New Roman" w:eastAsia="宋体" w:cs="Times New Roman"/>
      <w:szCs w:val="24"/>
    </w:rPr>
  </w:style>
  <w:style w:type="character" w:customStyle="1" w:styleId="187">
    <w:name w:val="日期 字符"/>
    <w:basedOn w:val="90"/>
    <w:link w:val="50"/>
    <w:qFormat/>
    <w:uiPriority w:val="99"/>
    <w:rPr>
      <w:rFonts w:ascii="Times New Roman" w:hAnsi="Times New Roman" w:eastAsia="宋体" w:cs="Times New Roman"/>
      <w:szCs w:val="24"/>
    </w:rPr>
  </w:style>
  <w:style w:type="character" w:customStyle="1" w:styleId="188">
    <w:name w:val="文档结构图 字符"/>
    <w:basedOn w:val="90"/>
    <w:link w:val="26"/>
    <w:qFormat/>
    <w:uiPriority w:val="0"/>
    <w:rPr>
      <w:rFonts w:ascii="宋体" w:hAnsi="Times New Roman" w:eastAsia="宋体" w:cs="Times New Roman"/>
      <w:sz w:val="18"/>
      <w:szCs w:val="18"/>
    </w:rPr>
  </w:style>
  <w:style w:type="character" w:customStyle="1" w:styleId="189">
    <w:name w:val="信息标题 字符"/>
    <w:basedOn w:val="90"/>
    <w:link w:val="79"/>
    <w:qFormat/>
    <w:uiPriority w:val="0"/>
    <w:rPr>
      <w:rFonts w:ascii="Cambria" w:hAnsi="Cambria" w:eastAsia="宋体" w:cs="黑体"/>
      <w:sz w:val="24"/>
      <w:szCs w:val="24"/>
      <w:shd w:val="pct20" w:color="auto" w:fill="auto"/>
    </w:rPr>
  </w:style>
  <w:style w:type="character" w:customStyle="1" w:styleId="190">
    <w:name w:val="引用 字符"/>
    <w:basedOn w:val="90"/>
    <w:link w:val="104"/>
    <w:qFormat/>
    <w:uiPriority w:val="29"/>
    <w:rPr>
      <w:rFonts w:ascii="Times New Roman" w:hAnsi="Times New Roman" w:eastAsia="宋体" w:cs="Times New Roman"/>
      <w:i/>
      <w:iCs/>
      <w:color w:val="000000"/>
      <w:szCs w:val="24"/>
    </w:rPr>
  </w:style>
  <w:style w:type="character" w:customStyle="1" w:styleId="191">
    <w:name w:val="正文文本首行缩进 字符"/>
    <w:basedOn w:val="164"/>
    <w:link w:val="86"/>
    <w:qFormat/>
    <w:uiPriority w:val="0"/>
    <w:rPr>
      <w:rFonts w:ascii="Times New Roman" w:hAnsi="Times New Roman" w:eastAsia="宋体" w:cs="Times New Roman"/>
      <w:kern w:val="0"/>
      <w:sz w:val="24"/>
      <w:szCs w:val="24"/>
    </w:rPr>
  </w:style>
  <w:style w:type="character" w:customStyle="1" w:styleId="192">
    <w:name w:val="正文文本首行缩进 2 字符"/>
    <w:basedOn w:val="168"/>
    <w:link w:val="87"/>
    <w:qFormat/>
    <w:uiPriority w:val="0"/>
    <w:rPr>
      <w:rFonts w:ascii="Times New Roman" w:hAnsi="Times New Roman" w:eastAsia="宋体" w:cs="Times New Roman"/>
      <w:sz w:val="18"/>
      <w:szCs w:val="24"/>
    </w:rPr>
  </w:style>
  <w:style w:type="character" w:customStyle="1" w:styleId="193">
    <w:name w:val="正文文本 3 字符"/>
    <w:basedOn w:val="90"/>
    <w:link w:val="31"/>
    <w:qFormat/>
    <w:uiPriority w:val="0"/>
    <w:rPr>
      <w:rFonts w:ascii="Times New Roman" w:hAnsi="Times New Roman" w:eastAsia="宋体" w:cs="Times New Roman"/>
      <w:sz w:val="16"/>
      <w:szCs w:val="16"/>
    </w:rPr>
  </w:style>
  <w:style w:type="character" w:customStyle="1" w:styleId="194">
    <w:name w:val="注释标题 字符"/>
    <w:basedOn w:val="90"/>
    <w:link w:val="16"/>
    <w:qFormat/>
    <w:uiPriority w:val="0"/>
    <w:rPr>
      <w:rFonts w:ascii="Times New Roman" w:hAnsi="Times New Roman" w:eastAsia="宋体" w:cs="Times New Roman"/>
      <w:szCs w:val="24"/>
    </w:rPr>
  </w:style>
  <w:style w:type="character" w:customStyle="1" w:styleId="195">
    <w:name w:val="skinobject1"/>
    <w:qFormat/>
    <w:uiPriority w:val="0"/>
    <w:rPr>
      <w:rFonts w:hint="default" w:ascii="Tahoma" w:hAnsi="Tahoma" w:cs="Tahoma"/>
      <w:color w:val="356786"/>
      <w:sz w:val="18"/>
      <w:szCs w:val="18"/>
      <w:u w:val="none"/>
    </w:rPr>
  </w:style>
  <w:style w:type="character" w:customStyle="1" w:styleId="196">
    <w:name w:val="text_41"/>
    <w:qFormat/>
    <w:uiPriority w:val="0"/>
    <w:rPr>
      <w:b/>
      <w:bCs/>
      <w:color w:val="163900"/>
      <w:sz w:val="21"/>
      <w:szCs w:val="21"/>
    </w:rPr>
  </w:style>
  <w:style w:type="character" w:customStyle="1" w:styleId="197">
    <w:name w:val="text_51"/>
    <w:qFormat/>
    <w:uiPriority w:val="0"/>
    <w:rPr>
      <w:color w:val="000000"/>
      <w:sz w:val="18"/>
      <w:szCs w:val="18"/>
    </w:rPr>
  </w:style>
  <w:style w:type="character" w:customStyle="1" w:styleId="198">
    <w:name w:val="No Spacing Char"/>
    <w:link w:val="105"/>
    <w:qFormat/>
    <w:uiPriority w:val="0"/>
    <w:rPr>
      <w:rFonts w:ascii="Calibri" w:hAnsi="Calibri" w:eastAsia="宋体" w:cs="Calibri"/>
      <w:kern w:val="2"/>
      <w:sz w:val="22"/>
      <w:szCs w:val="22"/>
      <w:lang w:val="en-US" w:eastAsia="zh-CN" w:bidi="ar-SA"/>
    </w:rPr>
  </w:style>
  <w:style w:type="character" w:customStyle="1" w:styleId="199">
    <w:name w:val="Char Char5"/>
    <w:qFormat/>
    <w:uiPriority w:val="0"/>
    <w:rPr>
      <w:sz w:val="18"/>
      <w:szCs w:val="18"/>
    </w:rPr>
  </w:style>
  <w:style w:type="character" w:customStyle="1" w:styleId="200">
    <w:name w:val="text_21"/>
    <w:qFormat/>
    <w:uiPriority w:val="0"/>
    <w:rPr>
      <w:b/>
      <w:bCs/>
      <w:color w:val="163900"/>
      <w:sz w:val="18"/>
      <w:szCs w:val="18"/>
    </w:rPr>
  </w:style>
  <w:style w:type="character" w:customStyle="1" w:styleId="201">
    <w:name w:val="列表段落 字符"/>
    <w:link w:val="99"/>
    <w:qFormat/>
    <w:uiPriority w:val="34"/>
    <w:rPr>
      <w:rFonts w:ascii="Times New Roman" w:hAnsi="Times New Roman" w:eastAsia="宋体" w:cs="Times New Roman"/>
      <w:szCs w:val="24"/>
    </w:rPr>
  </w:style>
  <w:style w:type="character" w:customStyle="1" w:styleId="202">
    <w:name w:val="wmejpqm2az9qma"/>
    <w:qFormat/>
    <w:uiPriority w:val="0"/>
  </w:style>
  <w:style w:type="character" w:customStyle="1" w:styleId="203">
    <w:name w:val="wmijnam2azlqnqdj"/>
    <w:qFormat/>
    <w:uiPriority w:val="0"/>
  </w:style>
  <w:style w:type="character" w:customStyle="1" w:styleId="204">
    <w:name w:val="wmejpqm1az1qmg"/>
    <w:qFormat/>
    <w:uiPriority w:val="0"/>
  </w:style>
  <w:style w:type="character" w:customStyle="1" w:styleId="205">
    <w:name w:val="wmejpqm2az9qna"/>
    <w:qFormat/>
    <w:uiPriority w:val="0"/>
  </w:style>
  <w:style w:type="character" w:customStyle="1" w:styleId="206">
    <w:name w:val="wmejpqm2az5qng"/>
    <w:qFormat/>
    <w:uiPriority w:val="0"/>
  </w:style>
  <w:style w:type="character" w:customStyle="1" w:styleId="207">
    <w:name w:val="wmejpqm1aztqng"/>
    <w:qFormat/>
    <w:uiPriority w:val="0"/>
  </w:style>
  <w:style w:type="character" w:customStyle="1" w:styleId="208">
    <w:name w:val="wmejpqm1azhqng"/>
    <w:qFormat/>
    <w:uiPriority w:val="0"/>
  </w:style>
  <w:style w:type="character" w:customStyle="1" w:styleId="209">
    <w:name w:val="wmejpqm1azxqmg"/>
    <w:qFormat/>
    <w:uiPriority w:val="0"/>
  </w:style>
  <w:style w:type="character" w:customStyle="1" w:styleId="210">
    <w:name w:val="wmijmwm1aztqmgdh"/>
    <w:qFormat/>
    <w:uiPriority w:val="0"/>
  </w:style>
  <w:style w:type="character" w:customStyle="1" w:styleId="211">
    <w:name w:val="wmejpqm2az9qng"/>
    <w:qFormat/>
    <w:uiPriority w:val="0"/>
  </w:style>
  <w:style w:type="character" w:customStyle="1" w:styleId="212">
    <w:name w:val="wmejpqm1aztqmg"/>
    <w:qFormat/>
    <w:uiPriority w:val="0"/>
  </w:style>
  <w:style w:type="character" w:customStyle="1" w:styleId="213">
    <w:name w:val="wmejpqm1azzqoa"/>
    <w:qFormat/>
    <w:uiPriority w:val="0"/>
  </w:style>
  <w:style w:type="character" w:customStyle="1" w:styleId="214">
    <w:name w:val="wmejpqm1azlqna"/>
    <w:qFormat/>
    <w:uiPriority w:val="0"/>
  </w:style>
  <w:style w:type="character" w:customStyle="1" w:styleId="215">
    <w:name w:val="wmcjnqmyaz5qna"/>
    <w:qFormat/>
    <w:uiPriority w:val="0"/>
  </w:style>
  <w:style w:type="character" w:customStyle="1" w:styleId="216">
    <w:name w:val="wmijmwmwaz1qngdv"/>
    <w:qFormat/>
    <w:uiPriority w:val="0"/>
  </w:style>
  <w:style w:type="character" w:customStyle="1" w:styleId="217">
    <w:name w:val="wmijnqm9azpqmqdv"/>
    <w:qFormat/>
    <w:uiPriority w:val="0"/>
  </w:style>
  <w:style w:type="character" w:customStyle="1" w:styleId="218">
    <w:name w:val="wmejpqm1azpqna"/>
    <w:qFormat/>
    <w:uiPriority w:val="0"/>
  </w:style>
  <w:style w:type="character" w:customStyle="1" w:styleId="219">
    <w:name w:val="apple-converted-space"/>
    <w:qFormat/>
    <w:uiPriority w:val="0"/>
  </w:style>
  <w:style w:type="paragraph" w:styleId="220">
    <w:name w:val="List Paragraph"/>
    <w:basedOn w:val="1"/>
    <w:qFormat/>
    <w:uiPriority w:val="34"/>
    <w:pPr>
      <w:ind w:firstLine="420" w:firstLineChars="200"/>
    </w:pPr>
  </w:style>
  <w:style w:type="paragraph" w:customStyle="1" w:styleId="221">
    <w:name w:val="正文 A"/>
    <w:qFormat/>
    <w:uiPriority w:val="0"/>
    <w:pPr>
      <w:widowControl w:val="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22">
    <w:name w:val="msonormal"/>
    <w:basedOn w:val="1"/>
    <w:qFormat/>
    <w:uiPriority w:val="0"/>
    <w:pPr>
      <w:widowControl/>
      <w:spacing w:before="100" w:beforeAutospacing="1" w:after="100" w:afterAutospacing="1"/>
      <w:jc w:val="left"/>
    </w:pPr>
    <w:rPr>
      <w:rFonts w:ascii="宋体" w:hAnsi="宋体" w:cs="宋体"/>
      <w:kern w:val="0"/>
    </w:rPr>
  </w:style>
  <w:style w:type="character" w:customStyle="1" w:styleId="223">
    <w:name w:val="font51"/>
    <w:basedOn w:val="90"/>
    <w:qFormat/>
    <w:uiPriority w:val="0"/>
    <w:rPr>
      <w:rFonts w:hint="eastAsia" w:ascii="宋体" w:hAnsi="宋体" w:eastAsia="宋体" w:cs="宋体"/>
      <w:color w:val="000000"/>
      <w:sz w:val="22"/>
      <w:szCs w:val="22"/>
      <w:u w:val="none"/>
    </w:rPr>
  </w:style>
  <w:style w:type="character" w:customStyle="1" w:styleId="224">
    <w:name w:val="font41"/>
    <w:basedOn w:val="90"/>
    <w:qFormat/>
    <w:uiPriority w:val="0"/>
    <w:rPr>
      <w:rFonts w:hint="eastAsia" w:ascii="宋体" w:hAnsi="宋体" w:eastAsia="宋体" w:cs="宋体"/>
      <w:color w:val="000000"/>
      <w:sz w:val="22"/>
      <w:szCs w:val="22"/>
      <w:u w:val="none"/>
    </w:rPr>
  </w:style>
  <w:style w:type="table" w:customStyle="1" w:styleId="225">
    <w:name w:val="TableGrid"/>
    <w:qFormat/>
    <w:uiPriority w:val="0"/>
    <w:rPr>
      <w:kern w:val="2"/>
      <w:sz w:val="21"/>
      <w:szCs w:val="22"/>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192</Pages>
  <Words>118772</Words>
  <Characters>138518</Characters>
  <Lines>111</Lines>
  <Paragraphs>31</Paragraphs>
  <TotalTime>9</TotalTime>
  <ScaleCrop>false</ScaleCrop>
  <LinksUpToDate>false</LinksUpToDate>
  <CharactersWithSpaces>140242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2018-01-05T03:26:00Z</dcterms:created>
  <dc:creator>钟江浩</dc:creator>
  <cp:lastModifiedBy>木易</cp:lastModifiedBy>
  <dcterms:modified xsi:type="dcterms:W3CDTF">2022-04-13T01:24:24Z</dcterms:modified>
  <dc:title>国宝人寿重大疾病绿色通道健康服务手册</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